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F10E4" w14:textId="7301632D" w:rsidR="008C1557" w:rsidRDefault="0045721B">
      <w:pPr>
        <w:rPr>
          <w:rFonts w:cstheme="minorHAnsi"/>
          <w:sz w:val="36"/>
          <w:szCs w:val="36"/>
        </w:rPr>
        <w:sectPr w:rsidR="008C1557" w:rsidSect="00FB38AA">
          <w:headerReference w:type="even" r:id="rId9"/>
          <w:headerReference w:type="default" r:id="rId10"/>
          <w:footerReference w:type="even" r:id="rId11"/>
          <w:footerReference w:type="default" r:id="rId12"/>
          <w:headerReference w:type="first" r:id="rId13"/>
          <w:footerReference w:type="first" r:id="rId14"/>
          <w:pgSz w:w="11900" w:h="16840"/>
          <w:pgMar w:top="0" w:right="720" w:bottom="0" w:left="720" w:header="709" w:footer="709" w:gutter="0"/>
          <w:cols w:space="708"/>
          <w:titlePg/>
          <w:docGrid w:linePitch="326"/>
        </w:sectPr>
      </w:pPr>
      <w:bookmarkStart w:id="0" w:name="_GoBack"/>
      <w:bookmarkEnd w:id="0"/>
      <w:r w:rsidRPr="0045721B">
        <w:rPr>
          <w:rFonts w:cstheme="minorHAnsi"/>
          <w:noProof/>
          <w:sz w:val="36"/>
          <w:szCs w:val="36"/>
          <w:lang w:val="nb-NO" w:eastAsia="nb-NO"/>
        </w:rPr>
        <w:drawing>
          <wp:inline distT="0" distB="0" distL="0" distR="0" wp14:anchorId="6AEC1C3B" wp14:editId="44AA7B33">
            <wp:extent cx="6642100" cy="9394305"/>
            <wp:effectExtent l="0" t="0" r="6350" b="0"/>
            <wp:docPr id="13" name="Picture 13" descr="H:\system\Desktop\Handlingsplan_nyFor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system\Desktop\Handlingsplan_nyForsid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642100" cy="9394305"/>
                    </a:xfrm>
                    <a:prstGeom prst="rect">
                      <a:avLst/>
                    </a:prstGeom>
                    <a:noFill/>
                    <a:ln>
                      <a:noFill/>
                    </a:ln>
                  </pic:spPr>
                </pic:pic>
              </a:graphicData>
            </a:graphic>
          </wp:inline>
        </w:drawing>
      </w:r>
    </w:p>
    <w:sdt>
      <w:sdtPr>
        <w:rPr>
          <w:rFonts w:ascii="Calibri" w:eastAsia="Arial Unicode MS" w:hAnsi="Calibri" w:cs="Times New Roman"/>
          <w:color w:val="auto"/>
          <w:sz w:val="24"/>
          <w:szCs w:val="24"/>
          <w:lang w:eastAsia="en-US"/>
        </w:rPr>
        <w:id w:val="414989529"/>
        <w:docPartObj>
          <w:docPartGallery w:val="Table of Contents"/>
          <w:docPartUnique/>
        </w:docPartObj>
      </w:sdtPr>
      <w:sdtEndPr>
        <w:rPr>
          <w:b/>
          <w:bCs/>
          <w:noProof/>
        </w:rPr>
      </w:sdtEndPr>
      <w:sdtContent>
        <w:p w14:paraId="10FC16A4" w14:textId="24F0E35E" w:rsidR="00F0327C" w:rsidRDefault="00F0327C" w:rsidP="000A69A6">
          <w:pPr>
            <w:pStyle w:val="Overskriftforinnholdsfortegnelse"/>
            <w:spacing w:line="276" w:lineRule="auto"/>
            <w:rPr>
              <w:rFonts w:ascii="Calibri" w:hAnsi="Calibri"/>
              <w:color w:val="auto"/>
              <w:sz w:val="28"/>
              <w:szCs w:val="28"/>
            </w:rPr>
          </w:pPr>
          <w:r>
            <w:rPr>
              <w:rFonts w:ascii="Calibri" w:hAnsi="Calibri"/>
              <w:color w:val="auto"/>
              <w:sz w:val="28"/>
              <w:szCs w:val="28"/>
            </w:rPr>
            <w:t>Contents</w:t>
          </w:r>
        </w:p>
        <w:p w14:paraId="484F4EB6" w14:textId="77777777" w:rsidR="00F24D3C" w:rsidRPr="00F24D3C" w:rsidRDefault="00F24D3C" w:rsidP="00F24D3C">
          <w:pPr>
            <w:pStyle w:val="Brdtekst1"/>
          </w:pPr>
        </w:p>
        <w:p w14:paraId="2C2A453E" w14:textId="77777777" w:rsidR="00CA5D56" w:rsidRDefault="00F0327C">
          <w:pPr>
            <w:pStyle w:val="INNH1"/>
            <w:tabs>
              <w:tab w:val="right" w:leader="dot" w:pos="10450"/>
            </w:tabs>
            <w:rPr>
              <w:rFonts w:asciiTheme="minorHAnsi" w:eastAsiaTheme="minorEastAsia" w:hAnsiTheme="minorHAnsi" w:cstheme="minorBidi"/>
              <w:noProof/>
              <w:sz w:val="22"/>
              <w:szCs w:val="22"/>
              <w:bdr w:val="none" w:sz="0" w:space="0" w:color="auto"/>
              <w:lang w:val="nn-NO" w:eastAsia="nn-NO"/>
            </w:rPr>
          </w:pPr>
          <w:r w:rsidRPr="00F24D3C">
            <w:rPr>
              <w:rFonts w:ascii="Calibri" w:hAnsi="Calibri"/>
            </w:rPr>
            <w:fldChar w:fldCharType="begin"/>
          </w:r>
          <w:r w:rsidRPr="00F24D3C">
            <w:rPr>
              <w:rFonts w:ascii="Calibri" w:hAnsi="Calibri"/>
            </w:rPr>
            <w:instrText xml:space="preserve"> TOC \o "1-3" \h \z \u </w:instrText>
          </w:r>
          <w:r w:rsidRPr="00F24D3C">
            <w:rPr>
              <w:rFonts w:ascii="Calibri" w:hAnsi="Calibri"/>
            </w:rPr>
            <w:fldChar w:fldCharType="separate"/>
          </w:r>
          <w:hyperlink w:anchor="_Toc479234150" w:history="1">
            <w:r w:rsidR="00CA5D56" w:rsidRPr="00C71AB9">
              <w:rPr>
                <w:rStyle w:val="Hyperkobling"/>
                <w:noProof/>
              </w:rPr>
              <w:t>Summary</w:t>
            </w:r>
            <w:r w:rsidR="00CA5D56">
              <w:rPr>
                <w:noProof/>
                <w:webHidden/>
              </w:rPr>
              <w:tab/>
            </w:r>
            <w:r w:rsidR="00CA5D56">
              <w:rPr>
                <w:noProof/>
                <w:webHidden/>
              </w:rPr>
              <w:fldChar w:fldCharType="begin"/>
            </w:r>
            <w:r w:rsidR="00CA5D56">
              <w:rPr>
                <w:noProof/>
                <w:webHidden/>
              </w:rPr>
              <w:instrText xml:space="preserve"> PAGEREF _Toc479234150 \h </w:instrText>
            </w:r>
            <w:r w:rsidR="00CA5D56">
              <w:rPr>
                <w:noProof/>
                <w:webHidden/>
              </w:rPr>
            </w:r>
            <w:r w:rsidR="00CA5D56">
              <w:rPr>
                <w:noProof/>
                <w:webHidden/>
              </w:rPr>
              <w:fldChar w:fldCharType="separate"/>
            </w:r>
            <w:r w:rsidR="00CA5D56">
              <w:rPr>
                <w:noProof/>
                <w:webHidden/>
              </w:rPr>
              <w:t>3</w:t>
            </w:r>
            <w:r w:rsidR="00CA5D56">
              <w:rPr>
                <w:noProof/>
                <w:webHidden/>
              </w:rPr>
              <w:fldChar w:fldCharType="end"/>
            </w:r>
          </w:hyperlink>
        </w:p>
        <w:p w14:paraId="6CAF2985" w14:textId="77777777" w:rsidR="00CA5D56" w:rsidRDefault="00F23716">
          <w:pPr>
            <w:pStyle w:val="INNH1"/>
            <w:tabs>
              <w:tab w:val="left" w:pos="480"/>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51" w:history="1">
            <w:r w:rsidR="00CA5D56" w:rsidRPr="00C71AB9">
              <w:rPr>
                <w:rStyle w:val="Hyperkobling"/>
                <w:noProof/>
              </w:rPr>
              <w:t>1.</w:t>
            </w:r>
            <w:r w:rsidR="00CA5D56">
              <w:rPr>
                <w:rFonts w:asciiTheme="minorHAnsi" w:eastAsiaTheme="minorEastAsia" w:hAnsiTheme="minorHAnsi" w:cstheme="minorBidi"/>
                <w:noProof/>
                <w:sz w:val="22"/>
                <w:szCs w:val="22"/>
                <w:bdr w:val="none" w:sz="0" w:space="0" w:color="auto"/>
                <w:lang w:val="nn-NO" w:eastAsia="nn-NO"/>
              </w:rPr>
              <w:tab/>
            </w:r>
            <w:r w:rsidR="00CA5D56" w:rsidRPr="00C71AB9">
              <w:rPr>
                <w:rStyle w:val="Hyperkobling"/>
                <w:noProof/>
              </w:rPr>
              <w:t>Introduction</w:t>
            </w:r>
            <w:r w:rsidR="00CA5D56">
              <w:rPr>
                <w:noProof/>
                <w:webHidden/>
              </w:rPr>
              <w:tab/>
            </w:r>
            <w:r w:rsidR="00CA5D56">
              <w:rPr>
                <w:noProof/>
                <w:webHidden/>
              </w:rPr>
              <w:fldChar w:fldCharType="begin"/>
            </w:r>
            <w:r w:rsidR="00CA5D56">
              <w:rPr>
                <w:noProof/>
                <w:webHidden/>
              </w:rPr>
              <w:instrText xml:space="preserve"> PAGEREF _Toc479234151 \h </w:instrText>
            </w:r>
            <w:r w:rsidR="00CA5D56">
              <w:rPr>
                <w:noProof/>
                <w:webHidden/>
              </w:rPr>
            </w:r>
            <w:r w:rsidR="00CA5D56">
              <w:rPr>
                <w:noProof/>
                <w:webHidden/>
              </w:rPr>
              <w:fldChar w:fldCharType="separate"/>
            </w:r>
            <w:r w:rsidR="00CA5D56">
              <w:rPr>
                <w:noProof/>
                <w:webHidden/>
              </w:rPr>
              <w:t>6</w:t>
            </w:r>
            <w:r w:rsidR="00CA5D56">
              <w:rPr>
                <w:noProof/>
                <w:webHidden/>
              </w:rPr>
              <w:fldChar w:fldCharType="end"/>
            </w:r>
          </w:hyperlink>
        </w:p>
        <w:p w14:paraId="16D8D6E5" w14:textId="77777777" w:rsidR="00CA5D56" w:rsidRDefault="00F23716">
          <w:pPr>
            <w:pStyle w:val="INNH3"/>
            <w:tabs>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52" w:history="1">
            <w:r w:rsidR="00CA5D56" w:rsidRPr="00C71AB9">
              <w:rPr>
                <w:rStyle w:val="Hyperkobling"/>
                <w:noProof/>
              </w:rPr>
              <w:t>Strategic basis</w:t>
            </w:r>
            <w:r w:rsidR="00CA5D56">
              <w:rPr>
                <w:noProof/>
                <w:webHidden/>
              </w:rPr>
              <w:tab/>
            </w:r>
            <w:r w:rsidR="00CA5D56">
              <w:rPr>
                <w:noProof/>
                <w:webHidden/>
              </w:rPr>
              <w:fldChar w:fldCharType="begin"/>
            </w:r>
            <w:r w:rsidR="00CA5D56">
              <w:rPr>
                <w:noProof/>
                <w:webHidden/>
              </w:rPr>
              <w:instrText xml:space="preserve"> PAGEREF _Toc479234152 \h </w:instrText>
            </w:r>
            <w:r w:rsidR="00CA5D56">
              <w:rPr>
                <w:noProof/>
                <w:webHidden/>
              </w:rPr>
            </w:r>
            <w:r w:rsidR="00CA5D56">
              <w:rPr>
                <w:noProof/>
                <w:webHidden/>
              </w:rPr>
              <w:fldChar w:fldCharType="separate"/>
            </w:r>
            <w:r w:rsidR="00CA5D56">
              <w:rPr>
                <w:noProof/>
                <w:webHidden/>
              </w:rPr>
              <w:t>6</w:t>
            </w:r>
            <w:r w:rsidR="00CA5D56">
              <w:rPr>
                <w:noProof/>
                <w:webHidden/>
              </w:rPr>
              <w:fldChar w:fldCharType="end"/>
            </w:r>
          </w:hyperlink>
        </w:p>
        <w:p w14:paraId="17B8C12C" w14:textId="77777777" w:rsidR="00CA5D56" w:rsidRDefault="00F23716">
          <w:pPr>
            <w:pStyle w:val="INNH3"/>
            <w:tabs>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53" w:history="1">
            <w:r w:rsidR="00CA5D56" w:rsidRPr="00C71AB9">
              <w:rPr>
                <w:rStyle w:val="Hyperkobling"/>
                <w:noProof/>
              </w:rPr>
              <w:t>Goals and target groups</w:t>
            </w:r>
            <w:r w:rsidR="00CA5D56">
              <w:rPr>
                <w:noProof/>
                <w:webHidden/>
              </w:rPr>
              <w:tab/>
            </w:r>
            <w:r w:rsidR="00CA5D56">
              <w:rPr>
                <w:noProof/>
                <w:webHidden/>
              </w:rPr>
              <w:fldChar w:fldCharType="begin"/>
            </w:r>
            <w:r w:rsidR="00CA5D56">
              <w:rPr>
                <w:noProof/>
                <w:webHidden/>
              </w:rPr>
              <w:instrText xml:space="preserve"> PAGEREF _Toc479234153 \h </w:instrText>
            </w:r>
            <w:r w:rsidR="00CA5D56">
              <w:rPr>
                <w:noProof/>
                <w:webHidden/>
              </w:rPr>
            </w:r>
            <w:r w:rsidR="00CA5D56">
              <w:rPr>
                <w:noProof/>
                <w:webHidden/>
              </w:rPr>
              <w:fldChar w:fldCharType="separate"/>
            </w:r>
            <w:r w:rsidR="00CA5D56">
              <w:rPr>
                <w:noProof/>
                <w:webHidden/>
              </w:rPr>
              <w:t>6</w:t>
            </w:r>
            <w:r w:rsidR="00CA5D56">
              <w:rPr>
                <w:noProof/>
                <w:webHidden/>
              </w:rPr>
              <w:fldChar w:fldCharType="end"/>
            </w:r>
          </w:hyperlink>
        </w:p>
        <w:p w14:paraId="25D76E62" w14:textId="77777777" w:rsidR="00CA5D56" w:rsidRDefault="00F23716">
          <w:pPr>
            <w:pStyle w:val="INNH3"/>
            <w:tabs>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54" w:history="1">
            <w:r w:rsidR="00CA5D56" w:rsidRPr="00C71AB9">
              <w:rPr>
                <w:rStyle w:val="Hyperkobling"/>
                <w:noProof/>
              </w:rPr>
              <w:t>From gender equality to diversity</w:t>
            </w:r>
            <w:r w:rsidR="00CA5D56">
              <w:rPr>
                <w:noProof/>
                <w:webHidden/>
              </w:rPr>
              <w:tab/>
            </w:r>
            <w:r w:rsidR="00CA5D56">
              <w:rPr>
                <w:noProof/>
                <w:webHidden/>
              </w:rPr>
              <w:fldChar w:fldCharType="begin"/>
            </w:r>
            <w:r w:rsidR="00CA5D56">
              <w:rPr>
                <w:noProof/>
                <w:webHidden/>
              </w:rPr>
              <w:instrText xml:space="preserve"> PAGEREF _Toc479234154 \h </w:instrText>
            </w:r>
            <w:r w:rsidR="00CA5D56">
              <w:rPr>
                <w:noProof/>
                <w:webHidden/>
              </w:rPr>
            </w:r>
            <w:r w:rsidR="00CA5D56">
              <w:rPr>
                <w:noProof/>
                <w:webHidden/>
              </w:rPr>
              <w:fldChar w:fldCharType="separate"/>
            </w:r>
            <w:r w:rsidR="00CA5D56">
              <w:rPr>
                <w:noProof/>
                <w:webHidden/>
              </w:rPr>
              <w:t>6</w:t>
            </w:r>
            <w:r w:rsidR="00CA5D56">
              <w:rPr>
                <w:noProof/>
                <w:webHidden/>
              </w:rPr>
              <w:fldChar w:fldCharType="end"/>
            </w:r>
          </w:hyperlink>
        </w:p>
        <w:p w14:paraId="54B25E52" w14:textId="77777777" w:rsidR="00CA5D56" w:rsidRDefault="00F23716">
          <w:pPr>
            <w:pStyle w:val="INNH3"/>
            <w:tabs>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55" w:history="1">
            <w:r w:rsidR="00CA5D56" w:rsidRPr="00C71AB9">
              <w:rPr>
                <w:rStyle w:val="Hyperkobling"/>
                <w:noProof/>
              </w:rPr>
              <w:t>Clarification of terms and the structure of the plan</w:t>
            </w:r>
            <w:r w:rsidR="00CA5D56">
              <w:rPr>
                <w:noProof/>
                <w:webHidden/>
              </w:rPr>
              <w:tab/>
            </w:r>
            <w:r w:rsidR="00CA5D56">
              <w:rPr>
                <w:noProof/>
                <w:webHidden/>
              </w:rPr>
              <w:fldChar w:fldCharType="begin"/>
            </w:r>
            <w:r w:rsidR="00CA5D56">
              <w:rPr>
                <w:noProof/>
                <w:webHidden/>
              </w:rPr>
              <w:instrText xml:space="preserve"> PAGEREF _Toc479234155 \h </w:instrText>
            </w:r>
            <w:r w:rsidR="00CA5D56">
              <w:rPr>
                <w:noProof/>
                <w:webHidden/>
              </w:rPr>
            </w:r>
            <w:r w:rsidR="00CA5D56">
              <w:rPr>
                <w:noProof/>
                <w:webHidden/>
              </w:rPr>
              <w:fldChar w:fldCharType="separate"/>
            </w:r>
            <w:r w:rsidR="00CA5D56">
              <w:rPr>
                <w:noProof/>
                <w:webHidden/>
              </w:rPr>
              <w:t>7</w:t>
            </w:r>
            <w:r w:rsidR="00CA5D56">
              <w:rPr>
                <w:noProof/>
                <w:webHidden/>
              </w:rPr>
              <w:fldChar w:fldCharType="end"/>
            </w:r>
          </w:hyperlink>
        </w:p>
        <w:p w14:paraId="59D95CE2" w14:textId="77777777" w:rsidR="00CA5D56" w:rsidRDefault="00F23716">
          <w:pPr>
            <w:pStyle w:val="INNH1"/>
            <w:tabs>
              <w:tab w:val="left" w:pos="480"/>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56" w:history="1">
            <w:r w:rsidR="00CA5D56" w:rsidRPr="00C71AB9">
              <w:rPr>
                <w:rStyle w:val="Hyperkobling"/>
                <w:noProof/>
              </w:rPr>
              <w:t>2.</w:t>
            </w:r>
            <w:r w:rsidR="00CA5D56">
              <w:rPr>
                <w:rFonts w:asciiTheme="minorHAnsi" w:eastAsiaTheme="minorEastAsia" w:hAnsiTheme="minorHAnsi" w:cstheme="minorBidi"/>
                <w:noProof/>
                <w:sz w:val="22"/>
                <w:szCs w:val="22"/>
                <w:bdr w:val="none" w:sz="0" w:space="0" w:color="auto"/>
                <w:lang w:val="nn-NO" w:eastAsia="nn-NO"/>
              </w:rPr>
              <w:tab/>
            </w:r>
            <w:r w:rsidR="00CA5D56" w:rsidRPr="00C71AB9">
              <w:rPr>
                <w:rStyle w:val="Hyperkobling"/>
                <w:noProof/>
              </w:rPr>
              <w:t>Current status</w:t>
            </w:r>
            <w:r w:rsidR="00CA5D56">
              <w:rPr>
                <w:noProof/>
                <w:webHidden/>
              </w:rPr>
              <w:tab/>
            </w:r>
            <w:r w:rsidR="00CA5D56">
              <w:rPr>
                <w:noProof/>
                <w:webHidden/>
              </w:rPr>
              <w:fldChar w:fldCharType="begin"/>
            </w:r>
            <w:r w:rsidR="00CA5D56">
              <w:rPr>
                <w:noProof/>
                <w:webHidden/>
              </w:rPr>
              <w:instrText xml:space="preserve"> PAGEREF _Toc479234156 \h </w:instrText>
            </w:r>
            <w:r w:rsidR="00CA5D56">
              <w:rPr>
                <w:noProof/>
                <w:webHidden/>
              </w:rPr>
            </w:r>
            <w:r w:rsidR="00CA5D56">
              <w:rPr>
                <w:noProof/>
                <w:webHidden/>
              </w:rPr>
              <w:fldChar w:fldCharType="separate"/>
            </w:r>
            <w:r w:rsidR="00CA5D56">
              <w:rPr>
                <w:noProof/>
                <w:webHidden/>
              </w:rPr>
              <w:t>9</w:t>
            </w:r>
            <w:r w:rsidR="00CA5D56">
              <w:rPr>
                <w:noProof/>
                <w:webHidden/>
              </w:rPr>
              <w:fldChar w:fldCharType="end"/>
            </w:r>
          </w:hyperlink>
        </w:p>
        <w:p w14:paraId="02CD35ED" w14:textId="77777777" w:rsidR="00CA5D56" w:rsidRDefault="00F23716">
          <w:pPr>
            <w:pStyle w:val="INNH3"/>
            <w:tabs>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57" w:history="1">
            <w:r w:rsidR="00CA5D56" w:rsidRPr="00C71AB9">
              <w:rPr>
                <w:rStyle w:val="Hyperkobling"/>
                <w:noProof/>
              </w:rPr>
              <w:t>An organisational culture and a working environment characterised by diversity</w:t>
            </w:r>
            <w:r w:rsidR="00CA5D56">
              <w:rPr>
                <w:noProof/>
                <w:webHidden/>
              </w:rPr>
              <w:tab/>
            </w:r>
            <w:r w:rsidR="00CA5D56">
              <w:rPr>
                <w:noProof/>
                <w:webHidden/>
              </w:rPr>
              <w:fldChar w:fldCharType="begin"/>
            </w:r>
            <w:r w:rsidR="00CA5D56">
              <w:rPr>
                <w:noProof/>
                <w:webHidden/>
              </w:rPr>
              <w:instrText xml:space="preserve"> PAGEREF _Toc479234157 \h </w:instrText>
            </w:r>
            <w:r w:rsidR="00CA5D56">
              <w:rPr>
                <w:noProof/>
                <w:webHidden/>
              </w:rPr>
            </w:r>
            <w:r w:rsidR="00CA5D56">
              <w:rPr>
                <w:noProof/>
                <w:webHidden/>
              </w:rPr>
              <w:fldChar w:fldCharType="separate"/>
            </w:r>
            <w:r w:rsidR="00CA5D56">
              <w:rPr>
                <w:noProof/>
                <w:webHidden/>
              </w:rPr>
              <w:t>9</w:t>
            </w:r>
            <w:r w:rsidR="00CA5D56">
              <w:rPr>
                <w:noProof/>
                <w:webHidden/>
              </w:rPr>
              <w:fldChar w:fldCharType="end"/>
            </w:r>
          </w:hyperlink>
        </w:p>
        <w:p w14:paraId="159A8730" w14:textId="77777777" w:rsidR="00CA5D56" w:rsidRDefault="00F23716">
          <w:pPr>
            <w:pStyle w:val="INNH2"/>
            <w:tabs>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58" w:history="1">
            <w:r w:rsidR="00CA5D56" w:rsidRPr="00C71AB9">
              <w:rPr>
                <w:rStyle w:val="Hyperkobling"/>
                <w:noProof/>
              </w:rPr>
              <w:t>2.1 Gender</w:t>
            </w:r>
            <w:r w:rsidR="00CA5D56">
              <w:rPr>
                <w:noProof/>
                <w:webHidden/>
              </w:rPr>
              <w:tab/>
            </w:r>
            <w:r w:rsidR="00CA5D56">
              <w:rPr>
                <w:noProof/>
                <w:webHidden/>
              </w:rPr>
              <w:fldChar w:fldCharType="begin"/>
            </w:r>
            <w:r w:rsidR="00CA5D56">
              <w:rPr>
                <w:noProof/>
                <w:webHidden/>
              </w:rPr>
              <w:instrText xml:space="preserve"> PAGEREF _Toc479234158 \h </w:instrText>
            </w:r>
            <w:r w:rsidR="00CA5D56">
              <w:rPr>
                <w:noProof/>
                <w:webHidden/>
              </w:rPr>
            </w:r>
            <w:r w:rsidR="00CA5D56">
              <w:rPr>
                <w:noProof/>
                <w:webHidden/>
              </w:rPr>
              <w:fldChar w:fldCharType="separate"/>
            </w:r>
            <w:r w:rsidR="00CA5D56">
              <w:rPr>
                <w:noProof/>
                <w:webHidden/>
              </w:rPr>
              <w:t>10</w:t>
            </w:r>
            <w:r w:rsidR="00CA5D56">
              <w:rPr>
                <w:noProof/>
                <w:webHidden/>
              </w:rPr>
              <w:fldChar w:fldCharType="end"/>
            </w:r>
          </w:hyperlink>
        </w:p>
        <w:p w14:paraId="6440F7DB" w14:textId="77777777" w:rsidR="00CA5D56" w:rsidRDefault="00F23716">
          <w:pPr>
            <w:pStyle w:val="INNH3"/>
            <w:tabs>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59" w:history="1">
            <w:r w:rsidR="00CA5D56" w:rsidRPr="00C71AB9">
              <w:rPr>
                <w:rStyle w:val="Hyperkobling"/>
                <w:noProof/>
              </w:rPr>
              <w:t>Gender balance</w:t>
            </w:r>
            <w:r w:rsidR="00CA5D56">
              <w:rPr>
                <w:noProof/>
                <w:webHidden/>
              </w:rPr>
              <w:tab/>
            </w:r>
            <w:r w:rsidR="00CA5D56">
              <w:rPr>
                <w:noProof/>
                <w:webHidden/>
              </w:rPr>
              <w:fldChar w:fldCharType="begin"/>
            </w:r>
            <w:r w:rsidR="00CA5D56">
              <w:rPr>
                <w:noProof/>
                <w:webHidden/>
              </w:rPr>
              <w:instrText xml:space="preserve"> PAGEREF _Toc479234159 \h </w:instrText>
            </w:r>
            <w:r w:rsidR="00CA5D56">
              <w:rPr>
                <w:noProof/>
                <w:webHidden/>
              </w:rPr>
            </w:r>
            <w:r w:rsidR="00CA5D56">
              <w:rPr>
                <w:noProof/>
                <w:webHidden/>
              </w:rPr>
              <w:fldChar w:fldCharType="separate"/>
            </w:r>
            <w:r w:rsidR="00CA5D56">
              <w:rPr>
                <w:noProof/>
                <w:webHidden/>
              </w:rPr>
              <w:t>10</w:t>
            </w:r>
            <w:r w:rsidR="00CA5D56">
              <w:rPr>
                <w:noProof/>
                <w:webHidden/>
              </w:rPr>
              <w:fldChar w:fldCharType="end"/>
            </w:r>
          </w:hyperlink>
        </w:p>
        <w:p w14:paraId="2B717EFA" w14:textId="77777777" w:rsidR="00CA5D56" w:rsidRDefault="00F23716">
          <w:pPr>
            <w:pStyle w:val="INNH2"/>
            <w:tabs>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60" w:history="1">
            <w:r w:rsidR="00CA5D56" w:rsidRPr="00C71AB9">
              <w:rPr>
                <w:rStyle w:val="Hyperkobling"/>
                <w:noProof/>
              </w:rPr>
              <w:t>2.2 Ethnicity</w:t>
            </w:r>
            <w:r w:rsidR="00CA5D56">
              <w:rPr>
                <w:noProof/>
                <w:webHidden/>
              </w:rPr>
              <w:tab/>
            </w:r>
            <w:r w:rsidR="00CA5D56">
              <w:rPr>
                <w:noProof/>
                <w:webHidden/>
              </w:rPr>
              <w:fldChar w:fldCharType="begin"/>
            </w:r>
            <w:r w:rsidR="00CA5D56">
              <w:rPr>
                <w:noProof/>
                <w:webHidden/>
              </w:rPr>
              <w:instrText xml:space="preserve"> PAGEREF _Toc479234160 \h </w:instrText>
            </w:r>
            <w:r w:rsidR="00CA5D56">
              <w:rPr>
                <w:noProof/>
                <w:webHidden/>
              </w:rPr>
            </w:r>
            <w:r w:rsidR="00CA5D56">
              <w:rPr>
                <w:noProof/>
                <w:webHidden/>
              </w:rPr>
              <w:fldChar w:fldCharType="separate"/>
            </w:r>
            <w:r w:rsidR="00CA5D56">
              <w:rPr>
                <w:noProof/>
                <w:webHidden/>
              </w:rPr>
              <w:t>13</w:t>
            </w:r>
            <w:r w:rsidR="00CA5D56">
              <w:rPr>
                <w:noProof/>
                <w:webHidden/>
              </w:rPr>
              <w:fldChar w:fldCharType="end"/>
            </w:r>
          </w:hyperlink>
        </w:p>
        <w:p w14:paraId="3C20FE4F" w14:textId="77777777" w:rsidR="00CA5D56" w:rsidRDefault="00F23716">
          <w:pPr>
            <w:pStyle w:val="INNH2"/>
            <w:tabs>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61" w:history="1">
            <w:r w:rsidR="00CA5D56" w:rsidRPr="00C71AB9">
              <w:rPr>
                <w:rStyle w:val="Hyperkobling"/>
                <w:noProof/>
              </w:rPr>
              <w:t>2.3 Functional ability</w:t>
            </w:r>
            <w:r w:rsidR="00CA5D56">
              <w:rPr>
                <w:noProof/>
                <w:webHidden/>
              </w:rPr>
              <w:tab/>
            </w:r>
            <w:r w:rsidR="00CA5D56">
              <w:rPr>
                <w:noProof/>
                <w:webHidden/>
              </w:rPr>
              <w:fldChar w:fldCharType="begin"/>
            </w:r>
            <w:r w:rsidR="00CA5D56">
              <w:rPr>
                <w:noProof/>
                <w:webHidden/>
              </w:rPr>
              <w:instrText xml:space="preserve"> PAGEREF _Toc479234161 \h </w:instrText>
            </w:r>
            <w:r w:rsidR="00CA5D56">
              <w:rPr>
                <w:noProof/>
                <w:webHidden/>
              </w:rPr>
            </w:r>
            <w:r w:rsidR="00CA5D56">
              <w:rPr>
                <w:noProof/>
                <w:webHidden/>
              </w:rPr>
              <w:fldChar w:fldCharType="separate"/>
            </w:r>
            <w:r w:rsidR="00CA5D56">
              <w:rPr>
                <w:noProof/>
                <w:webHidden/>
              </w:rPr>
              <w:t>15</w:t>
            </w:r>
            <w:r w:rsidR="00CA5D56">
              <w:rPr>
                <w:noProof/>
                <w:webHidden/>
              </w:rPr>
              <w:fldChar w:fldCharType="end"/>
            </w:r>
          </w:hyperlink>
        </w:p>
        <w:p w14:paraId="58C8ED19" w14:textId="77777777" w:rsidR="00CA5D56" w:rsidRDefault="00F23716">
          <w:pPr>
            <w:pStyle w:val="INNH3"/>
            <w:tabs>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62" w:history="1">
            <w:r w:rsidR="00CA5D56" w:rsidRPr="00C71AB9">
              <w:rPr>
                <w:rStyle w:val="Hyperkobling"/>
                <w:noProof/>
              </w:rPr>
              <w:t>Universal design: Physical conditions</w:t>
            </w:r>
            <w:r w:rsidR="00CA5D56">
              <w:rPr>
                <w:noProof/>
                <w:webHidden/>
              </w:rPr>
              <w:tab/>
            </w:r>
            <w:r w:rsidR="00CA5D56">
              <w:rPr>
                <w:noProof/>
                <w:webHidden/>
              </w:rPr>
              <w:fldChar w:fldCharType="begin"/>
            </w:r>
            <w:r w:rsidR="00CA5D56">
              <w:rPr>
                <w:noProof/>
                <w:webHidden/>
              </w:rPr>
              <w:instrText xml:space="preserve"> PAGEREF _Toc479234162 \h </w:instrText>
            </w:r>
            <w:r w:rsidR="00CA5D56">
              <w:rPr>
                <w:noProof/>
                <w:webHidden/>
              </w:rPr>
            </w:r>
            <w:r w:rsidR="00CA5D56">
              <w:rPr>
                <w:noProof/>
                <w:webHidden/>
              </w:rPr>
              <w:fldChar w:fldCharType="separate"/>
            </w:r>
            <w:r w:rsidR="00CA5D56">
              <w:rPr>
                <w:noProof/>
                <w:webHidden/>
              </w:rPr>
              <w:t>15</w:t>
            </w:r>
            <w:r w:rsidR="00CA5D56">
              <w:rPr>
                <w:noProof/>
                <w:webHidden/>
              </w:rPr>
              <w:fldChar w:fldCharType="end"/>
            </w:r>
          </w:hyperlink>
        </w:p>
        <w:p w14:paraId="2F3CAE1A" w14:textId="77777777" w:rsidR="00CA5D56" w:rsidRDefault="00F23716">
          <w:pPr>
            <w:pStyle w:val="INNH3"/>
            <w:tabs>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63" w:history="1">
            <w:r w:rsidR="00CA5D56" w:rsidRPr="00C71AB9">
              <w:rPr>
                <w:rStyle w:val="Hyperkobling"/>
                <w:noProof/>
              </w:rPr>
              <w:t>Universal design: ICT solutions</w:t>
            </w:r>
            <w:r w:rsidR="00CA5D56">
              <w:rPr>
                <w:noProof/>
                <w:webHidden/>
              </w:rPr>
              <w:tab/>
            </w:r>
            <w:r w:rsidR="00CA5D56">
              <w:rPr>
                <w:noProof/>
                <w:webHidden/>
              </w:rPr>
              <w:fldChar w:fldCharType="begin"/>
            </w:r>
            <w:r w:rsidR="00CA5D56">
              <w:rPr>
                <w:noProof/>
                <w:webHidden/>
              </w:rPr>
              <w:instrText xml:space="preserve"> PAGEREF _Toc479234163 \h </w:instrText>
            </w:r>
            <w:r w:rsidR="00CA5D56">
              <w:rPr>
                <w:noProof/>
                <w:webHidden/>
              </w:rPr>
            </w:r>
            <w:r w:rsidR="00CA5D56">
              <w:rPr>
                <w:noProof/>
                <w:webHidden/>
              </w:rPr>
              <w:fldChar w:fldCharType="separate"/>
            </w:r>
            <w:r w:rsidR="00CA5D56">
              <w:rPr>
                <w:noProof/>
                <w:webHidden/>
              </w:rPr>
              <w:t>16</w:t>
            </w:r>
            <w:r w:rsidR="00CA5D56">
              <w:rPr>
                <w:noProof/>
                <w:webHidden/>
              </w:rPr>
              <w:fldChar w:fldCharType="end"/>
            </w:r>
          </w:hyperlink>
        </w:p>
        <w:p w14:paraId="45EFE300" w14:textId="77777777" w:rsidR="00CA5D56" w:rsidRDefault="00F23716">
          <w:pPr>
            <w:pStyle w:val="INNH1"/>
            <w:tabs>
              <w:tab w:val="left" w:pos="480"/>
              <w:tab w:val="right" w:leader="dot" w:pos="10450"/>
            </w:tabs>
            <w:rPr>
              <w:rFonts w:asciiTheme="minorHAnsi" w:eastAsiaTheme="minorEastAsia" w:hAnsiTheme="minorHAnsi" w:cstheme="minorBidi"/>
              <w:noProof/>
              <w:sz w:val="22"/>
              <w:szCs w:val="22"/>
              <w:bdr w:val="none" w:sz="0" w:space="0" w:color="auto"/>
              <w:lang w:val="nn-NO" w:eastAsia="nn-NO"/>
            </w:rPr>
          </w:pPr>
          <w:hyperlink w:anchor="_Toc479234164" w:history="1">
            <w:r w:rsidR="00CA5D56" w:rsidRPr="00C71AB9">
              <w:rPr>
                <w:rStyle w:val="Hyperkobling"/>
                <w:noProof/>
              </w:rPr>
              <w:t>3.</w:t>
            </w:r>
            <w:r w:rsidR="00CA5D56">
              <w:rPr>
                <w:rFonts w:asciiTheme="minorHAnsi" w:eastAsiaTheme="minorEastAsia" w:hAnsiTheme="minorHAnsi" w:cstheme="minorBidi"/>
                <w:noProof/>
                <w:sz w:val="22"/>
                <w:szCs w:val="22"/>
                <w:bdr w:val="none" w:sz="0" w:space="0" w:color="auto"/>
                <w:lang w:val="nn-NO" w:eastAsia="nn-NO"/>
              </w:rPr>
              <w:tab/>
            </w:r>
            <w:r w:rsidR="00CA5D56" w:rsidRPr="00C71AB9">
              <w:rPr>
                <w:rStyle w:val="Hyperkobling"/>
                <w:noProof/>
              </w:rPr>
              <w:t>Objectives and measures for the coming period (2017–2019)</w:t>
            </w:r>
            <w:r w:rsidR="00CA5D56">
              <w:rPr>
                <w:noProof/>
                <w:webHidden/>
              </w:rPr>
              <w:tab/>
            </w:r>
            <w:r w:rsidR="00CA5D56">
              <w:rPr>
                <w:noProof/>
                <w:webHidden/>
              </w:rPr>
              <w:fldChar w:fldCharType="begin"/>
            </w:r>
            <w:r w:rsidR="00CA5D56">
              <w:rPr>
                <w:noProof/>
                <w:webHidden/>
              </w:rPr>
              <w:instrText xml:space="preserve"> PAGEREF _Toc479234164 \h </w:instrText>
            </w:r>
            <w:r w:rsidR="00CA5D56">
              <w:rPr>
                <w:noProof/>
                <w:webHidden/>
              </w:rPr>
            </w:r>
            <w:r w:rsidR="00CA5D56">
              <w:rPr>
                <w:noProof/>
                <w:webHidden/>
              </w:rPr>
              <w:fldChar w:fldCharType="separate"/>
            </w:r>
            <w:r w:rsidR="00CA5D56">
              <w:rPr>
                <w:noProof/>
                <w:webHidden/>
              </w:rPr>
              <w:t>18</w:t>
            </w:r>
            <w:r w:rsidR="00CA5D56">
              <w:rPr>
                <w:noProof/>
                <w:webHidden/>
              </w:rPr>
              <w:fldChar w:fldCharType="end"/>
            </w:r>
          </w:hyperlink>
        </w:p>
        <w:p w14:paraId="31FD58C3" w14:textId="1E2213EA" w:rsidR="00F0327C" w:rsidRPr="00F24D3C" w:rsidRDefault="00F0327C" w:rsidP="000A69A6">
          <w:pPr>
            <w:rPr>
              <w:rFonts w:ascii="Calibri" w:hAnsi="Calibri"/>
            </w:rPr>
          </w:pPr>
          <w:r w:rsidRPr="00F24D3C">
            <w:rPr>
              <w:rFonts w:ascii="Calibri" w:hAnsi="Calibri"/>
              <w:b/>
              <w:bCs/>
            </w:rPr>
            <w:fldChar w:fldCharType="end"/>
          </w:r>
        </w:p>
      </w:sdtContent>
    </w:sdt>
    <w:p w14:paraId="4B241FC7" w14:textId="525002C5" w:rsidR="00CC0C3B" w:rsidRPr="00F24D3C" w:rsidRDefault="00B30542" w:rsidP="000A69A6">
      <w:pPr>
        <w:pStyle w:val="Brdtekst1"/>
        <w:rPr>
          <w:rFonts w:cstheme="minorHAnsi"/>
          <w:bCs/>
          <w:color w:val="auto"/>
          <w:sz w:val="28"/>
          <w:szCs w:val="28"/>
        </w:rPr>
      </w:pPr>
      <w:r>
        <w:br w:type="page"/>
      </w:r>
    </w:p>
    <w:p w14:paraId="69F80800" w14:textId="5846BB45" w:rsidR="009E2ED3" w:rsidRDefault="009E2ED3" w:rsidP="009E2ED3">
      <w:pPr>
        <w:pStyle w:val="Overskrift1"/>
      </w:pPr>
      <w:bookmarkStart w:id="1" w:name="_Toc475429937"/>
      <w:bookmarkStart w:id="2" w:name="_Toc479234150"/>
      <w:r>
        <w:lastRenderedPageBreak/>
        <w:t>Summary</w:t>
      </w:r>
      <w:bookmarkEnd w:id="1"/>
      <w:bookmarkEnd w:id="2"/>
      <w:r>
        <w:t xml:space="preserve"> </w:t>
      </w:r>
    </w:p>
    <w:p w14:paraId="6B57CE93" w14:textId="77777777" w:rsidR="009E2ED3" w:rsidRPr="004D7978" w:rsidRDefault="009E2ED3" w:rsidP="009E2ED3"/>
    <w:p w14:paraId="229CD0CB" w14:textId="77777777" w:rsidR="009E2ED3" w:rsidRPr="00AA5545" w:rsidRDefault="009E2ED3" w:rsidP="009E2ED3">
      <w:pPr>
        <w:rPr>
          <w:rFonts w:ascii="Calibri" w:hAnsi="Calibri" w:cstheme="minorHAnsi"/>
          <w:b/>
          <w:sz w:val="20"/>
          <w:szCs w:val="20"/>
        </w:rPr>
      </w:pPr>
      <w:r>
        <w:rPr>
          <w:rFonts w:ascii="Calibri" w:hAnsi="Calibri"/>
          <w:b/>
          <w:sz w:val="20"/>
          <w:szCs w:val="20"/>
        </w:rPr>
        <w:t xml:space="preserve">Strategic basis, objectives and diversity </w:t>
      </w:r>
    </w:p>
    <w:p w14:paraId="7502CB18" w14:textId="77777777" w:rsidR="009E2ED3" w:rsidRDefault="009E2ED3" w:rsidP="009E2ED3">
      <w:pPr>
        <w:rPr>
          <w:rFonts w:ascii="Calibri" w:hAnsi="Calibri"/>
          <w:sz w:val="20"/>
          <w:szCs w:val="20"/>
        </w:rPr>
      </w:pPr>
      <w:r w:rsidRPr="00F81279">
        <w:rPr>
          <w:rFonts w:ascii="Calibri" w:hAnsi="Calibri"/>
          <w:sz w:val="20"/>
          <w:szCs w:val="20"/>
        </w:rPr>
        <w:t xml:space="preserve">The work to promote diversity is based on the sector goals defined by the Ministry of Education and Research (KD) and in Oslo and </w:t>
      </w:r>
      <w:proofErr w:type="spellStart"/>
      <w:r w:rsidRPr="00F81279">
        <w:rPr>
          <w:rFonts w:ascii="Calibri" w:hAnsi="Calibri"/>
          <w:sz w:val="20"/>
          <w:szCs w:val="20"/>
        </w:rPr>
        <w:t>Akershus</w:t>
      </w:r>
      <w:proofErr w:type="spellEnd"/>
      <w:r w:rsidRPr="00F81279">
        <w:rPr>
          <w:rFonts w:ascii="Calibri" w:hAnsi="Calibri"/>
          <w:sz w:val="20"/>
          <w:szCs w:val="20"/>
        </w:rPr>
        <w:t xml:space="preserve"> University College of Applied Sciences' (</w:t>
      </w:r>
      <w:proofErr w:type="spellStart"/>
      <w:r w:rsidRPr="00F81279">
        <w:rPr>
          <w:rFonts w:ascii="Calibri" w:hAnsi="Calibri"/>
          <w:sz w:val="20"/>
          <w:szCs w:val="20"/>
        </w:rPr>
        <w:t>HiOA</w:t>
      </w:r>
      <w:proofErr w:type="spellEnd"/>
      <w:r w:rsidRPr="00F81279">
        <w:rPr>
          <w:rFonts w:ascii="Calibri" w:hAnsi="Calibri"/>
          <w:sz w:val="20"/>
          <w:szCs w:val="20"/>
        </w:rPr>
        <w:t xml:space="preserve">) main strategy, </w:t>
      </w:r>
      <w:r w:rsidRPr="00F81279">
        <w:rPr>
          <w:rFonts w:ascii="Calibri" w:hAnsi="Calibri"/>
          <w:i/>
          <w:sz w:val="20"/>
          <w:szCs w:val="20"/>
        </w:rPr>
        <w:t>Strategy 2020</w:t>
      </w:r>
      <w:r w:rsidRPr="00F81279">
        <w:rPr>
          <w:rFonts w:ascii="Calibri" w:hAnsi="Calibri"/>
          <w:sz w:val="20"/>
          <w:szCs w:val="20"/>
        </w:rPr>
        <w:t xml:space="preserve">. </w:t>
      </w:r>
      <w:r>
        <w:rPr>
          <w:rFonts w:ascii="Calibri" w:hAnsi="Calibri"/>
          <w:sz w:val="20"/>
          <w:szCs w:val="20"/>
        </w:rPr>
        <w:t xml:space="preserve">The objective of this action plan is to create an inclusive working and study environment. Diversity is one of </w:t>
      </w:r>
      <w:proofErr w:type="spellStart"/>
      <w:r>
        <w:rPr>
          <w:rFonts w:ascii="Calibri" w:hAnsi="Calibri"/>
          <w:sz w:val="20"/>
          <w:szCs w:val="20"/>
        </w:rPr>
        <w:t>HiOA’s</w:t>
      </w:r>
      <w:proofErr w:type="spellEnd"/>
      <w:r>
        <w:rPr>
          <w:rFonts w:ascii="Calibri" w:hAnsi="Calibri"/>
          <w:sz w:val="20"/>
          <w:szCs w:val="20"/>
        </w:rPr>
        <w:t xml:space="preserve"> core values, and the institution wants to apply this </w:t>
      </w:r>
      <w:r>
        <w:rPr>
          <w:rFonts w:ascii="Calibri" w:hAnsi="Calibri"/>
          <w:i/>
          <w:sz w:val="20"/>
          <w:szCs w:val="20"/>
        </w:rPr>
        <w:t>expanded equality concept</w:t>
      </w:r>
      <w:r>
        <w:rPr>
          <w:rFonts w:ascii="Calibri" w:hAnsi="Calibri"/>
          <w:sz w:val="20"/>
          <w:szCs w:val="20"/>
        </w:rPr>
        <w:t>.</w:t>
      </w:r>
      <w:r>
        <w:rPr>
          <w:rFonts w:ascii="Calibri" w:hAnsi="Calibri"/>
          <w:i/>
          <w:sz w:val="20"/>
          <w:szCs w:val="20"/>
        </w:rPr>
        <w:t xml:space="preserve"> </w:t>
      </w:r>
      <w:r>
        <w:rPr>
          <w:rFonts w:ascii="Calibri" w:hAnsi="Calibri"/>
          <w:sz w:val="20"/>
          <w:szCs w:val="20"/>
        </w:rPr>
        <w:t xml:space="preserve">Diversity is considered an important resource at </w:t>
      </w:r>
      <w:proofErr w:type="spellStart"/>
      <w:r>
        <w:rPr>
          <w:rFonts w:ascii="Calibri" w:hAnsi="Calibri"/>
          <w:sz w:val="20"/>
          <w:szCs w:val="20"/>
        </w:rPr>
        <w:t>HiOA</w:t>
      </w:r>
      <w:proofErr w:type="spellEnd"/>
      <w:r>
        <w:rPr>
          <w:rFonts w:ascii="Calibri" w:hAnsi="Calibri"/>
          <w:sz w:val="20"/>
          <w:szCs w:val="20"/>
        </w:rPr>
        <w:t xml:space="preserve">, and we believe that diversity of background and experience among staff and students is </w:t>
      </w:r>
      <w:proofErr w:type="gramStart"/>
      <w:r>
        <w:rPr>
          <w:rFonts w:ascii="Calibri" w:hAnsi="Calibri"/>
          <w:sz w:val="20"/>
          <w:szCs w:val="20"/>
        </w:rPr>
        <w:t>a strength</w:t>
      </w:r>
      <w:proofErr w:type="gramEnd"/>
      <w:r>
        <w:rPr>
          <w:rFonts w:ascii="Calibri" w:hAnsi="Calibri"/>
          <w:sz w:val="20"/>
          <w:szCs w:val="20"/>
        </w:rPr>
        <w:t xml:space="preserve"> in developing research and education in a society and region that are becoming increasingly diverse. </w:t>
      </w:r>
    </w:p>
    <w:p w14:paraId="07363F46" w14:textId="77777777" w:rsidR="009E2ED3" w:rsidRPr="00D85DB9" w:rsidRDefault="009E2ED3" w:rsidP="009E2ED3">
      <w:pPr>
        <w:rPr>
          <w:rFonts w:ascii="Calibri" w:hAnsi="Calibri"/>
          <w:sz w:val="20"/>
          <w:szCs w:val="20"/>
        </w:rPr>
      </w:pPr>
    </w:p>
    <w:p w14:paraId="4726151B" w14:textId="77777777" w:rsidR="009E2ED3" w:rsidRPr="00AA5545" w:rsidRDefault="009E2ED3" w:rsidP="009E2ED3">
      <w:pPr>
        <w:rPr>
          <w:rFonts w:ascii="Calibri" w:hAnsi="Calibri"/>
          <w:b/>
          <w:sz w:val="20"/>
          <w:szCs w:val="20"/>
        </w:rPr>
      </w:pPr>
      <w:r>
        <w:rPr>
          <w:rFonts w:ascii="Calibri" w:hAnsi="Calibri"/>
          <w:b/>
          <w:sz w:val="20"/>
          <w:szCs w:val="20"/>
        </w:rPr>
        <w:t>Current status</w:t>
      </w:r>
    </w:p>
    <w:p w14:paraId="1B047AE3" w14:textId="77777777" w:rsidR="009E2ED3" w:rsidRDefault="009E2ED3" w:rsidP="009E2ED3">
      <w:pPr>
        <w:rPr>
          <w:rFonts w:ascii="Calibri" w:hAnsi="Calibri"/>
          <w:sz w:val="20"/>
          <w:szCs w:val="20"/>
        </w:rPr>
      </w:pPr>
      <w:r>
        <w:rPr>
          <w:rFonts w:ascii="Calibri" w:hAnsi="Calibri"/>
          <w:sz w:val="20"/>
          <w:szCs w:val="20"/>
        </w:rPr>
        <w:t>The plan provides an overall description of the status/perceived present situation in relation to each of these grounds for discrimination: gender, ethnicity and functional impairment. The decision to limit the plan to these three grounds for discrimination was made because they correspond to the obligations under the institution’s duty to actively promote equality.</w:t>
      </w:r>
    </w:p>
    <w:p w14:paraId="15EB1449" w14:textId="77777777" w:rsidR="009E2ED3" w:rsidRDefault="009E2ED3" w:rsidP="009E2ED3">
      <w:pPr>
        <w:rPr>
          <w:rFonts w:ascii="Calibri" w:hAnsi="Calibri"/>
          <w:sz w:val="20"/>
          <w:szCs w:val="20"/>
        </w:rPr>
      </w:pPr>
    </w:p>
    <w:p w14:paraId="7675E25F" w14:textId="1B72BDED" w:rsidR="009E2ED3" w:rsidRDefault="009E2ED3" w:rsidP="009E2ED3">
      <w:pPr>
        <w:pStyle w:val="Listeavsnitt"/>
        <w:numPr>
          <w:ilvl w:val="0"/>
          <w:numId w:val="45"/>
        </w:numPr>
        <w:spacing w:line="240" w:lineRule="auto"/>
        <w:ind w:left="360"/>
        <w:rPr>
          <w:rFonts w:ascii="Calibri" w:hAnsi="Calibri"/>
          <w:sz w:val="20"/>
          <w:szCs w:val="20"/>
        </w:rPr>
      </w:pPr>
      <w:r>
        <w:rPr>
          <w:rFonts w:ascii="Calibri" w:hAnsi="Calibri"/>
          <w:b/>
          <w:sz w:val="20"/>
          <w:szCs w:val="20"/>
        </w:rPr>
        <w:t>Gender:</w:t>
      </w:r>
      <w:r>
        <w:rPr>
          <w:rFonts w:ascii="Calibri" w:hAnsi="Calibri"/>
          <w:sz w:val="20"/>
          <w:szCs w:val="20"/>
        </w:rPr>
        <w:t xml:space="preserve"> It is a goal for </w:t>
      </w:r>
      <w:proofErr w:type="spellStart"/>
      <w:r>
        <w:rPr>
          <w:rFonts w:ascii="Calibri" w:hAnsi="Calibri"/>
          <w:sz w:val="20"/>
          <w:szCs w:val="20"/>
        </w:rPr>
        <w:t>HiOA</w:t>
      </w:r>
      <w:proofErr w:type="spellEnd"/>
      <w:r>
        <w:rPr>
          <w:rFonts w:ascii="Calibri" w:hAnsi="Calibri"/>
          <w:sz w:val="20"/>
          <w:szCs w:val="20"/>
        </w:rPr>
        <w:t xml:space="preserve"> to have good gender balance both in teaching and research (TR) positions and in technical and administrative (TA) positions, as well as in the student body. </w:t>
      </w:r>
      <w:proofErr w:type="spellStart"/>
      <w:r>
        <w:rPr>
          <w:rFonts w:ascii="Calibri" w:hAnsi="Calibri"/>
          <w:sz w:val="20"/>
          <w:szCs w:val="20"/>
        </w:rPr>
        <w:t>HiOA</w:t>
      </w:r>
      <w:proofErr w:type="spellEnd"/>
      <w:r>
        <w:rPr>
          <w:rFonts w:ascii="Calibri" w:hAnsi="Calibri"/>
          <w:sz w:val="20"/>
          <w:szCs w:val="20"/>
        </w:rPr>
        <w:t xml:space="preserve"> has a very good gender balance in top academic positions, with 47.4% women and 52.6% men. Women account for 66.3% of total full-time equivalents, while 69.9% of </w:t>
      </w:r>
      <w:proofErr w:type="spellStart"/>
      <w:r>
        <w:rPr>
          <w:rFonts w:ascii="Calibri" w:hAnsi="Calibri"/>
          <w:sz w:val="20"/>
          <w:szCs w:val="20"/>
        </w:rPr>
        <w:t>HiOA’s</w:t>
      </w:r>
      <w:proofErr w:type="spellEnd"/>
      <w:r>
        <w:rPr>
          <w:rFonts w:ascii="Calibri" w:hAnsi="Calibri"/>
          <w:sz w:val="20"/>
          <w:szCs w:val="20"/>
        </w:rPr>
        <w:t xml:space="preserve"> students are female.</w:t>
      </w:r>
      <w:r w:rsidR="0076241A">
        <w:rPr>
          <w:rFonts w:ascii="Calibri" w:hAnsi="Calibri"/>
          <w:sz w:val="20"/>
          <w:szCs w:val="20"/>
        </w:rPr>
        <w:t xml:space="preserve"> </w:t>
      </w:r>
    </w:p>
    <w:p w14:paraId="237A5D03" w14:textId="77777777" w:rsidR="009E2ED3" w:rsidRDefault="009E2ED3" w:rsidP="009E2ED3">
      <w:pPr>
        <w:pStyle w:val="Listeavsnitt"/>
        <w:spacing w:line="240" w:lineRule="auto"/>
        <w:ind w:left="0"/>
        <w:rPr>
          <w:rFonts w:ascii="Calibri" w:hAnsi="Calibri"/>
          <w:sz w:val="20"/>
          <w:szCs w:val="20"/>
        </w:rPr>
      </w:pPr>
    </w:p>
    <w:p w14:paraId="284EF15E" w14:textId="77777777" w:rsidR="009E2ED3" w:rsidRDefault="009E2ED3" w:rsidP="009E2ED3">
      <w:pPr>
        <w:pStyle w:val="Listeavsnitt"/>
        <w:spacing w:line="240" w:lineRule="auto"/>
        <w:ind w:left="360"/>
        <w:rPr>
          <w:rFonts w:ascii="Calibri" w:hAnsi="Calibri"/>
          <w:sz w:val="20"/>
          <w:szCs w:val="20"/>
        </w:rPr>
      </w:pPr>
      <w:r>
        <w:rPr>
          <w:rFonts w:ascii="Calibri" w:hAnsi="Calibri"/>
          <w:sz w:val="20"/>
          <w:szCs w:val="20"/>
        </w:rPr>
        <w:t xml:space="preserve">Male and female staff at </w:t>
      </w:r>
      <w:proofErr w:type="spellStart"/>
      <w:r>
        <w:rPr>
          <w:rFonts w:ascii="Calibri" w:hAnsi="Calibri"/>
          <w:sz w:val="20"/>
          <w:szCs w:val="20"/>
        </w:rPr>
        <w:t>HiOA</w:t>
      </w:r>
      <w:proofErr w:type="spellEnd"/>
      <w:r>
        <w:rPr>
          <w:rFonts w:ascii="Calibri" w:hAnsi="Calibri"/>
          <w:sz w:val="20"/>
          <w:szCs w:val="20"/>
        </w:rPr>
        <w:t xml:space="preserve"> shall receive equal pay for equal work or work of equal value. The pay statistics show that there are no systematic differences in the average pay between men and women at </w:t>
      </w:r>
      <w:proofErr w:type="spellStart"/>
      <w:r>
        <w:rPr>
          <w:rFonts w:ascii="Calibri" w:hAnsi="Calibri"/>
          <w:sz w:val="20"/>
          <w:szCs w:val="20"/>
        </w:rPr>
        <w:t>HiOA</w:t>
      </w:r>
      <w:proofErr w:type="spellEnd"/>
      <w:r>
        <w:rPr>
          <w:rFonts w:ascii="Calibri" w:hAnsi="Calibri"/>
          <w:sz w:val="20"/>
          <w:szCs w:val="20"/>
        </w:rPr>
        <w:t xml:space="preserve">. Wage developments are monitored through local wage negotiations and the Rector’s negotiation authorisation. </w:t>
      </w:r>
    </w:p>
    <w:p w14:paraId="778E5C3E" w14:textId="77777777" w:rsidR="009E2ED3" w:rsidRDefault="009E2ED3" w:rsidP="009E2ED3">
      <w:pPr>
        <w:pStyle w:val="Listeavsnitt"/>
        <w:spacing w:line="240" w:lineRule="auto"/>
        <w:ind w:left="0"/>
        <w:rPr>
          <w:rFonts w:ascii="Calibri" w:hAnsi="Calibri"/>
          <w:sz w:val="20"/>
          <w:szCs w:val="20"/>
        </w:rPr>
      </w:pPr>
    </w:p>
    <w:p w14:paraId="2B75A019" w14:textId="77777777" w:rsidR="009E2ED3" w:rsidRPr="004A1815" w:rsidRDefault="009E2ED3" w:rsidP="009E2ED3">
      <w:pPr>
        <w:pStyle w:val="Listeavsnitt"/>
        <w:numPr>
          <w:ilvl w:val="0"/>
          <w:numId w:val="45"/>
        </w:numPr>
        <w:spacing w:line="240" w:lineRule="auto"/>
        <w:ind w:left="360"/>
        <w:rPr>
          <w:rFonts w:ascii="Calibri" w:hAnsi="Calibri"/>
          <w:sz w:val="20"/>
          <w:szCs w:val="20"/>
        </w:rPr>
      </w:pPr>
      <w:r>
        <w:rPr>
          <w:rFonts w:ascii="Calibri" w:hAnsi="Calibri"/>
          <w:b/>
          <w:sz w:val="20"/>
          <w:szCs w:val="20"/>
        </w:rPr>
        <w:t>Ethnicity:</w:t>
      </w:r>
      <w:r>
        <w:rPr>
          <w:rFonts w:ascii="Calibri" w:hAnsi="Calibri"/>
          <w:sz w:val="20"/>
          <w:szCs w:val="20"/>
        </w:rPr>
        <w:t xml:space="preserve"> </w:t>
      </w:r>
      <w:proofErr w:type="spellStart"/>
      <w:r>
        <w:rPr>
          <w:rFonts w:ascii="Calibri" w:hAnsi="Calibri"/>
          <w:sz w:val="20"/>
          <w:szCs w:val="20"/>
        </w:rPr>
        <w:t>HiOA</w:t>
      </w:r>
      <w:proofErr w:type="spellEnd"/>
      <w:r>
        <w:rPr>
          <w:rFonts w:ascii="Calibri" w:hAnsi="Calibri"/>
          <w:sz w:val="20"/>
          <w:szCs w:val="20"/>
        </w:rPr>
        <w:t xml:space="preserve"> wants to reflect the population of the Oslo and </w:t>
      </w:r>
      <w:proofErr w:type="spellStart"/>
      <w:r>
        <w:rPr>
          <w:rFonts w:ascii="Calibri" w:hAnsi="Calibri"/>
          <w:sz w:val="20"/>
          <w:szCs w:val="20"/>
        </w:rPr>
        <w:t>Akershus</w:t>
      </w:r>
      <w:proofErr w:type="spellEnd"/>
      <w:r>
        <w:rPr>
          <w:rFonts w:ascii="Calibri" w:hAnsi="Calibri"/>
          <w:sz w:val="20"/>
          <w:szCs w:val="20"/>
        </w:rPr>
        <w:t xml:space="preserve"> region and its ethnic diversity. Moreover, the ambition to become a university and </w:t>
      </w:r>
      <w:proofErr w:type="spellStart"/>
      <w:r>
        <w:rPr>
          <w:rFonts w:ascii="Calibri" w:hAnsi="Calibri"/>
          <w:sz w:val="20"/>
          <w:szCs w:val="20"/>
        </w:rPr>
        <w:t>HiOA’s</w:t>
      </w:r>
      <w:proofErr w:type="spellEnd"/>
      <w:r>
        <w:rPr>
          <w:rFonts w:ascii="Calibri" w:hAnsi="Calibri"/>
          <w:sz w:val="20"/>
          <w:szCs w:val="20"/>
        </w:rPr>
        <w:t xml:space="preserve"> internationalisation strategy mean that the institution has to assert itself in the fields of international recruitment and mobility. </w:t>
      </w:r>
      <w:proofErr w:type="spellStart"/>
      <w:r>
        <w:rPr>
          <w:rFonts w:ascii="Calibri" w:hAnsi="Calibri"/>
          <w:sz w:val="20"/>
          <w:szCs w:val="20"/>
        </w:rPr>
        <w:t>HiOA</w:t>
      </w:r>
      <w:proofErr w:type="spellEnd"/>
      <w:r>
        <w:rPr>
          <w:rFonts w:ascii="Calibri" w:hAnsi="Calibri"/>
          <w:sz w:val="20"/>
          <w:szCs w:val="20"/>
        </w:rPr>
        <w:t xml:space="preserve"> became Charter and Code certified in 2016. This certification is intended to facilitate mobility to and from </w:t>
      </w:r>
      <w:proofErr w:type="spellStart"/>
      <w:r>
        <w:rPr>
          <w:rFonts w:ascii="Calibri" w:hAnsi="Calibri"/>
          <w:sz w:val="20"/>
          <w:szCs w:val="20"/>
        </w:rPr>
        <w:t>HiOA</w:t>
      </w:r>
      <w:proofErr w:type="spellEnd"/>
      <w:r>
        <w:rPr>
          <w:rFonts w:ascii="Calibri" w:hAnsi="Calibri"/>
          <w:sz w:val="20"/>
          <w:szCs w:val="20"/>
        </w:rPr>
        <w:t xml:space="preserve"> and entitles the institution to use the European Commission’s </w:t>
      </w:r>
      <w:r>
        <w:rPr>
          <w:rFonts w:ascii="Calibri" w:hAnsi="Calibri"/>
          <w:i/>
          <w:sz w:val="20"/>
          <w:szCs w:val="20"/>
        </w:rPr>
        <w:t xml:space="preserve">HR Excellence in Research </w:t>
      </w:r>
      <w:r>
        <w:rPr>
          <w:rFonts w:ascii="Calibri" w:hAnsi="Calibri"/>
          <w:sz w:val="20"/>
          <w:szCs w:val="20"/>
        </w:rPr>
        <w:t>logo.</w:t>
      </w:r>
    </w:p>
    <w:p w14:paraId="5A8BB65F" w14:textId="77777777" w:rsidR="009E2ED3" w:rsidRPr="004A1815" w:rsidRDefault="009E2ED3" w:rsidP="009E2ED3">
      <w:pPr>
        <w:ind w:left="360"/>
        <w:rPr>
          <w:rFonts w:ascii="Calibri" w:hAnsi="Calibri"/>
          <w:sz w:val="20"/>
          <w:szCs w:val="20"/>
        </w:rPr>
      </w:pPr>
      <w:r>
        <w:rPr>
          <w:rFonts w:ascii="Calibri" w:hAnsi="Calibri"/>
          <w:sz w:val="20"/>
          <w:szCs w:val="20"/>
        </w:rPr>
        <w:t xml:space="preserve">The university and university college sector, including </w:t>
      </w:r>
      <w:proofErr w:type="spellStart"/>
      <w:r>
        <w:rPr>
          <w:rFonts w:ascii="Calibri" w:hAnsi="Calibri"/>
          <w:sz w:val="20"/>
          <w:szCs w:val="20"/>
        </w:rPr>
        <w:t>HiOA</w:t>
      </w:r>
      <w:proofErr w:type="spellEnd"/>
      <w:r>
        <w:rPr>
          <w:rFonts w:ascii="Calibri" w:hAnsi="Calibri"/>
          <w:sz w:val="20"/>
          <w:szCs w:val="20"/>
        </w:rPr>
        <w:t xml:space="preserve">, does not have any systematic information about employees with immigrant backgrounds. This was the reason why the Nordic Institute for Studies in Innovation, Research and Education's (NIFU) and Statistics Norway prepared diversity statistics in 2016 to show the proportion of immigrants and descendants of immigrants in research and higher education in Norway. These statistics can form a basis for a future systematic mapping of the status and development of measures in relation to ethnicity as grounds for discrimination. </w:t>
      </w:r>
    </w:p>
    <w:p w14:paraId="3CE04BCE" w14:textId="77777777" w:rsidR="009E2ED3" w:rsidRDefault="009E2ED3" w:rsidP="009E2ED3">
      <w:pPr>
        <w:pStyle w:val="Listeavsnitt"/>
        <w:spacing w:line="240" w:lineRule="auto"/>
        <w:ind w:left="360"/>
        <w:rPr>
          <w:rFonts w:ascii="Calibri" w:hAnsi="Calibri"/>
          <w:sz w:val="20"/>
          <w:szCs w:val="20"/>
        </w:rPr>
      </w:pPr>
    </w:p>
    <w:p w14:paraId="03C8E9E4" w14:textId="77777777" w:rsidR="009E2ED3" w:rsidRPr="00AA5545" w:rsidRDefault="009E2ED3" w:rsidP="009E2ED3">
      <w:pPr>
        <w:pStyle w:val="Listeavsnitt"/>
        <w:numPr>
          <w:ilvl w:val="0"/>
          <w:numId w:val="45"/>
        </w:numPr>
        <w:spacing w:line="240" w:lineRule="auto"/>
        <w:ind w:left="360"/>
        <w:rPr>
          <w:rFonts w:ascii="Calibri" w:hAnsi="Calibri"/>
          <w:sz w:val="20"/>
          <w:szCs w:val="20"/>
        </w:rPr>
      </w:pPr>
      <w:r>
        <w:rPr>
          <w:rFonts w:ascii="Calibri" w:hAnsi="Calibri"/>
          <w:b/>
          <w:sz w:val="20"/>
          <w:szCs w:val="20"/>
        </w:rPr>
        <w:t>Functional ability:</w:t>
      </w:r>
      <w:r>
        <w:rPr>
          <w:rFonts w:ascii="Calibri" w:hAnsi="Calibri"/>
          <w:sz w:val="20"/>
          <w:szCs w:val="20"/>
        </w:rPr>
        <w:t xml:space="preserve"> </w:t>
      </w:r>
      <w:proofErr w:type="spellStart"/>
      <w:r>
        <w:rPr>
          <w:rFonts w:ascii="Calibri" w:hAnsi="Calibri"/>
          <w:sz w:val="20"/>
          <w:szCs w:val="20"/>
        </w:rPr>
        <w:t>HiOA</w:t>
      </w:r>
      <w:proofErr w:type="spellEnd"/>
      <w:r>
        <w:rPr>
          <w:rFonts w:ascii="Calibri" w:hAnsi="Calibri"/>
          <w:sz w:val="20"/>
          <w:szCs w:val="20"/>
        </w:rPr>
        <w:t xml:space="preserve"> provides 1) physical and 2) organisational and work environment adaptation for employees with functional impairments. The statement on diversity that is included in all job advertisements offers workplace adaptation as necessary. In 2016, </w:t>
      </w:r>
      <w:proofErr w:type="spellStart"/>
      <w:r>
        <w:rPr>
          <w:rFonts w:ascii="Calibri" w:hAnsi="Calibri"/>
          <w:sz w:val="20"/>
          <w:szCs w:val="20"/>
        </w:rPr>
        <w:t>HiOA</w:t>
      </w:r>
      <w:proofErr w:type="spellEnd"/>
      <w:r>
        <w:rPr>
          <w:rFonts w:ascii="Calibri" w:hAnsi="Calibri"/>
          <w:sz w:val="20"/>
          <w:szCs w:val="20"/>
        </w:rPr>
        <w:t xml:space="preserve"> drew up a local Inclusive Workplace (IW) agreement intended to ensure that the revised IW Agreement is followed up, including its Operative goal 2: Prevent withdrawal and increase employment of people with reduced functional ability. The students have their own adaptation service. In order to guarantee equal right to education, the requirements for universal design of IT solutions will become more stringent in future. Universal design shall be implemented in IT solutions in the education sector by 1 January 2021. </w:t>
      </w:r>
    </w:p>
    <w:p w14:paraId="4DC19151" w14:textId="77777777" w:rsidR="009E2ED3" w:rsidRPr="00AA5545" w:rsidRDefault="009E2ED3" w:rsidP="009E2ED3">
      <w:pPr>
        <w:rPr>
          <w:rFonts w:ascii="Calibri" w:hAnsi="Calibri"/>
          <w:b/>
          <w:sz w:val="20"/>
          <w:szCs w:val="20"/>
        </w:rPr>
      </w:pPr>
      <w:r>
        <w:rPr>
          <w:rFonts w:ascii="Calibri" w:hAnsi="Calibri"/>
          <w:b/>
          <w:sz w:val="20"/>
          <w:szCs w:val="20"/>
        </w:rPr>
        <w:t>Objectives and measures</w:t>
      </w:r>
    </w:p>
    <w:p w14:paraId="15F0A0D4" w14:textId="77777777" w:rsidR="009E2ED3" w:rsidRPr="00890FBD" w:rsidRDefault="009E2ED3" w:rsidP="009E2ED3">
      <w:pPr>
        <w:rPr>
          <w:rFonts w:ascii="Calibri" w:hAnsi="Calibri"/>
          <w:sz w:val="20"/>
          <w:szCs w:val="20"/>
        </w:rPr>
      </w:pPr>
      <w:r>
        <w:rPr>
          <w:rFonts w:ascii="Calibri" w:hAnsi="Calibri"/>
          <w:sz w:val="20"/>
          <w:szCs w:val="20"/>
        </w:rPr>
        <w:t xml:space="preserve">The action plan is not organised by grounds for discrimination but by areas of activity, as it is desirable for </w:t>
      </w:r>
      <w:proofErr w:type="spellStart"/>
      <w:r>
        <w:rPr>
          <w:rFonts w:ascii="Calibri" w:hAnsi="Calibri"/>
          <w:sz w:val="20"/>
          <w:szCs w:val="20"/>
        </w:rPr>
        <w:t>HiOA</w:t>
      </w:r>
      <w:proofErr w:type="spellEnd"/>
      <w:r>
        <w:rPr>
          <w:rFonts w:ascii="Calibri" w:hAnsi="Calibri"/>
          <w:sz w:val="20"/>
          <w:szCs w:val="20"/>
        </w:rPr>
        <w:t xml:space="preserve"> to have an integrated diversity policy. However, what is known as </w:t>
      </w:r>
      <w:r>
        <w:rPr>
          <w:rFonts w:ascii="Calibri" w:hAnsi="Calibri"/>
          <w:i/>
          <w:sz w:val="20"/>
          <w:szCs w:val="20"/>
        </w:rPr>
        <w:t xml:space="preserve">mainstreaming </w:t>
      </w:r>
      <w:r>
        <w:rPr>
          <w:rFonts w:ascii="Calibri" w:hAnsi="Calibri"/>
          <w:sz w:val="20"/>
          <w:szCs w:val="20"/>
        </w:rPr>
        <w:t xml:space="preserve">is not effective without institutionalisation, concrete strategies and assignment of responsibility. </w:t>
      </w:r>
      <w:r>
        <w:rPr>
          <w:rFonts w:ascii="Calibri" w:hAnsi="Calibri"/>
          <w:sz w:val="20"/>
          <w:szCs w:val="20"/>
          <w:bdr w:val="none" w:sz="0" w:space="0" w:color="auto"/>
        </w:rPr>
        <w:t xml:space="preserve">The action plan as adopted by the Board shall therefore oblige the institution to apply a diversity policy where responsibility is not diffused, but assigned, and where concrete measures are to be implemented by a stipulated deadline. The measures are organised in three main groups with associated main goals. A complete overview of measures can be found on pages 15–17. </w:t>
      </w:r>
    </w:p>
    <w:p w14:paraId="4B5694AB" w14:textId="77777777" w:rsidR="009E2ED3" w:rsidRPr="001615CF" w:rsidRDefault="009E2ED3" w:rsidP="009E2ED3">
      <w:pPr>
        <w:rPr>
          <w:rFonts w:ascii="Calibri" w:eastAsia="Times New Roman" w:hAnsi="Calibri" w:cstheme="majorHAnsi"/>
          <w:sz w:val="20"/>
          <w:szCs w:val="20"/>
          <w:bdr w:val="none" w:sz="0" w:space="0" w:color="auto"/>
          <w:lang w:eastAsia="nb-NO"/>
        </w:rPr>
      </w:pPr>
    </w:p>
    <w:p w14:paraId="5392520A" w14:textId="77777777" w:rsidR="009E2ED3" w:rsidRPr="00D65B4A" w:rsidRDefault="009E2ED3" w:rsidP="009E2ED3">
      <w:pPr>
        <w:pStyle w:val="Listeavsnitt"/>
        <w:numPr>
          <w:ilvl w:val="0"/>
          <w:numId w:val="39"/>
        </w:numPr>
        <w:spacing w:line="240" w:lineRule="auto"/>
        <w:rPr>
          <w:rFonts w:ascii="Calibri" w:eastAsia="Times New Roman" w:hAnsi="Calibri" w:cs="Times New Roman"/>
          <w:b/>
          <w:sz w:val="20"/>
          <w:szCs w:val="20"/>
        </w:rPr>
      </w:pPr>
      <w:r>
        <w:rPr>
          <w:rFonts w:ascii="Calibri" w:hAnsi="Calibri"/>
          <w:b/>
          <w:sz w:val="20"/>
          <w:szCs w:val="20"/>
        </w:rPr>
        <w:t>Institution level – organisation and management</w:t>
      </w:r>
    </w:p>
    <w:p w14:paraId="2F623562" w14:textId="77777777" w:rsidR="009E2ED3" w:rsidRPr="001615CF" w:rsidRDefault="009E2ED3" w:rsidP="009E2ED3">
      <w:pPr>
        <w:pStyle w:val="Listeavsnitt"/>
        <w:spacing w:before="100" w:beforeAutospacing="1" w:after="75" w:line="240" w:lineRule="auto"/>
        <w:rPr>
          <w:rFonts w:ascii="Calibri" w:hAnsi="Calibri" w:cstheme="minorHAnsi"/>
          <w:i/>
          <w:sz w:val="20"/>
          <w:szCs w:val="20"/>
        </w:rPr>
      </w:pPr>
      <w:r>
        <w:rPr>
          <w:rFonts w:ascii="Calibri" w:hAnsi="Calibri"/>
          <w:i/>
          <w:sz w:val="20"/>
          <w:szCs w:val="20"/>
        </w:rPr>
        <w:t xml:space="preserve">Main goal: </w:t>
      </w:r>
      <w:proofErr w:type="spellStart"/>
      <w:r>
        <w:rPr>
          <w:rFonts w:ascii="Calibri" w:hAnsi="Calibri"/>
          <w:i/>
          <w:sz w:val="20"/>
          <w:szCs w:val="20"/>
        </w:rPr>
        <w:t>HiOA’s</w:t>
      </w:r>
      <w:proofErr w:type="spellEnd"/>
      <w:r>
        <w:rPr>
          <w:rFonts w:ascii="Calibri" w:hAnsi="Calibri"/>
          <w:i/>
          <w:sz w:val="20"/>
          <w:szCs w:val="20"/>
        </w:rPr>
        <w:t xml:space="preserve"> core value diversity shall be an integral part of the institution's culture, structure and management.</w:t>
      </w:r>
    </w:p>
    <w:p w14:paraId="65A6ABB8" w14:textId="77777777" w:rsidR="009E2ED3" w:rsidRPr="001615CF" w:rsidRDefault="009E2ED3" w:rsidP="009E2ED3">
      <w:pPr>
        <w:pStyle w:val="Listeavsnitt"/>
        <w:spacing w:before="100" w:beforeAutospacing="1" w:after="75" w:line="240" w:lineRule="auto"/>
        <w:rPr>
          <w:rFonts w:ascii="Calibri" w:eastAsia="Times New Roman" w:hAnsi="Calibri" w:cs="Times New Roman"/>
          <w:sz w:val="20"/>
          <w:szCs w:val="20"/>
          <w:lang w:eastAsia="nb-NO"/>
        </w:rPr>
      </w:pPr>
    </w:p>
    <w:p w14:paraId="461697BF" w14:textId="77777777" w:rsidR="009E2ED3" w:rsidRPr="00D65B4A" w:rsidRDefault="009E2ED3" w:rsidP="009E2ED3">
      <w:pPr>
        <w:pStyle w:val="Listeavsnitt"/>
        <w:numPr>
          <w:ilvl w:val="0"/>
          <w:numId w:val="39"/>
        </w:numPr>
        <w:spacing w:before="100" w:beforeAutospacing="1" w:after="75" w:line="240" w:lineRule="auto"/>
        <w:rPr>
          <w:rFonts w:ascii="Calibri" w:eastAsia="Times New Roman" w:hAnsi="Calibri" w:cs="Times New Roman"/>
          <w:b/>
          <w:sz w:val="20"/>
          <w:szCs w:val="20"/>
        </w:rPr>
      </w:pPr>
      <w:r>
        <w:rPr>
          <w:rFonts w:ascii="Calibri" w:hAnsi="Calibri"/>
          <w:b/>
          <w:sz w:val="20"/>
          <w:szCs w:val="20"/>
        </w:rPr>
        <w:t>Faculty and centre level – research and education</w:t>
      </w:r>
    </w:p>
    <w:p w14:paraId="6BC8556C" w14:textId="77777777" w:rsidR="009E2ED3" w:rsidRPr="001615CF" w:rsidRDefault="009E2ED3" w:rsidP="009E2ED3">
      <w:pPr>
        <w:pStyle w:val="Listeavsnitt"/>
        <w:spacing w:before="100" w:beforeAutospacing="1" w:after="75" w:line="240" w:lineRule="auto"/>
        <w:rPr>
          <w:rFonts w:ascii="Calibri" w:hAnsi="Calibri" w:cstheme="minorHAnsi"/>
          <w:i/>
          <w:sz w:val="20"/>
          <w:szCs w:val="20"/>
        </w:rPr>
      </w:pPr>
      <w:r>
        <w:rPr>
          <w:rFonts w:ascii="Calibri" w:hAnsi="Calibri"/>
          <w:i/>
          <w:sz w:val="20"/>
          <w:szCs w:val="20"/>
        </w:rPr>
        <w:t>Main goal: The faculties shall apply an effective local diversity policy, and relevant diversity perspectives shall be integrated into research and development.</w:t>
      </w:r>
    </w:p>
    <w:p w14:paraId="7F8204AB" w14:textId="77777777" w:rsidR="009E2ED3" w:rsidRPr="00D65B4A" w:rsidRDefault="009E2ED3" w:rsidP="009E2ED3">
      <w:pPr>
        <w:pStyle w:val="Listeavsnitt"/>
        <w:spacing w:before="100" w:beforeAutospacing="1" w:after="75" w:line="240" w:lineRule="auto"/>
        <w:rPr>
          <w:rFonts w:ascii="Calibri" w:eastAsia="Times New Roman" w:hAnsi="Calibri" w:cs="Times New Roman"/>
          <w:b/>
          <w:sz w:val="20"/>
          <w:szCs w:val="20"/>
          <w:lang w:eastAsia="nb-NO"/>
        </w:rPr>
      </w:pPr>
    </w:p>
    <w:p w14:paraId="39FA1ED0" w14:textId="77777777" w:rsidR="009E2ED3" w:rsidRPr="00D65B4A" w:rsidRDefault="009E2ED3" w:rsidP="009E2ED3">
      <w:pPr>
        <w:pStyle w:val="Listeavsnitt"/>
        <w:numPr>
          <w:ilvl w:val="0"/>
          <w:numId w:val="39"/>
        </w:numPr>
        <w:spacing w:before="100" w:beforeAutospacing="1" w:after="75" w:line="240" w:lineRule="auto"/>
        <w:rPr>
          <w:rFonts w:ascii="Calibri" w:eastAsia="Times New Roman" w:hAnsi="Calibri" w:cs="Times New Roman"/>
          <w:b/>
          <w:color w:val="000000"/>
          <w:sz w:val="20"/>
          <w:szCs w:val="20"/>
        </w:rPr>
      </w:pPr>
      <w:r>
        <w:rPr>
          <w:rFonts w:ascii="Calibri" w:hAnsi="Calibri"/>
          <w:b/>
          <w:sz w:val="20"/>
          <w:szCs w:val="20"/>
        </w:rPr>
        <w:t>Recruitment and development</w:t>
      </w:r>
    </w:p>
    <w:p w14:paraId="3D4E8578" w14:textId="5EAAF95F" w:rsidR="00CC0C3B" w:rsidRDefault="009E2ED3" w:rsidP="009E2ED3">
      <w:pPr>
        <w:pStyle w:val="Listeavsnitt"/>
        <w:spacing w:before="100" w:beforeAutospacing="1" w:after="75" w:line="240" w:lineRule="auto"/>
        <w:rPr>
          <w:rFonts w:ascii="Calibri" w:hAnsi="Calibri" w:cstheme="minorHAnsi"/>
          <w:bCs/>
          <w:sz w:val="28"/>
          <w:szCs w:val="28"/>
        </w:rPr>
      </w:pPr>
      <w:r>
        <w:rPr>
          <w:rFonts w:ascii="Calibri" w:hAnsi="Calibri"/>
          <w:i/>
          <w:sz w:val="20"/>
          <w:szCs w:val="20"/>
        </w:rPr>
        <w:t xml:space="preserve">Main goal: </w:t>
      </w:r>
      <w:proofErr w:type="spellStart"/>
      <w:r>
        <w:rPr>
          <w:rFonts w:ascii="Calibri" w:hAnsi="Calibri"/>
          <w:i/>
          <w:sz w:val="20"/>
          <w:szCs w:val="20"/>
        </w:rPr>
        <w:t>HiOA’s</w:t>
      </w:r>
      <w:proofErr w:type="spellEnd"/>
      <w:r>
        <w:rPr>
          <w:rFonts w:ascii="Calibri" w:hAnsi="Calibri"/>
          <w:i/>
          <w:sz w:val="20"/>
          <w:szCs w:val="20"/>
        </w:rPr>
        <w:t xml:space="preserve"> recruitment and career development processes shall be characterised by equal opportunities. Career and competence development measures shall contribute to raising the organisation's diversity competence.</w:t>
      </w:r>
      <w:r>
        <w:rPr>
          <w:rFonts w:ascii="Calibri" w:hAnsi="Calibri"/>
        </w:rPr>
        <w:br w:type="page"/>
      </w:r>
    </w:p>
    <w:p w14:paraId="13E9D7CF" w14:textId="5259EABB" w:rsidR="00B90325" w:rsidRDefault="00B90325">
      <w:pPr>
        <w:rPr>
          <w:rFonts w:ascii="Calibri" w:hAnsi="Calibri" w:cstheme="minorHAnsi"/>
          <w:i/>
          <w:sz w:val="20"/>
          <w:szCs w:val="20"/>
        </w:rPr>
      </w:pPr>
      <w:r>
        <w:rPr>
          <w:rFonts w:ascii="Calibri" w:eastAsia="Calibri" w:hAnsi="Calibri" w:cstheme="minorHAnsi"/>
          <w:noProof/>
          <w:sz w:val="36"/>
          <w:szCs w:val="36"/>
          <w:u w:color="000000"/>
          <w:lang w:val="nb-NO" w:eastAsia="nb-NO"/>
        </w:rPr>
        <w:lastRenderedPageBreak/>
        <w:drawing>
          <wp:anchor distT="0" distB="0" distL="114300" distR="114300" simplePos="0" relativeHeight="251668480" behindDoc="1" locked="0" layoutInCell="1" allowOverlap="1" wp14:anchorId="5E8EECB6" wp14:editId="25C4BA9B">
            <wp:simplePos x="0" y="0"/>
            <wp:positionH relativeFrom="page">
              <wp:align>left</wp:align>
            </wp:positionH>
            <wp:positionV relativeFrom="page">
              <wp:align>top</wp:align>
            </wp:positionV>
            <wp:extent cx="7556400" cy="10688400"/>
            <wp:effectExtent l="0" t="0" r="6985" b="0"/>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andlingsplan_innsik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p w14:paraId="602D9264" w14:textId="40E7B3CF" w:rsidR="00B90325" w:rsidRDefault="00B90325">
      <w:pPr>
        <w:rPr>
          <w:rFonts w:ascii="Calibri" w:eastAsiaTheme="minorHAnsi" w:hAnsi="Calibri" w:cstheme="minorHAnsi"/>
          <w:i/>
          <w:sz w:val="20"/>
          <w:szCs w:val="20"/>
          <w:bdr w:val="none" w:sz="0" w:space="0" w:color="auto"/>
        </w:rPr>
      </w:pPr>
      <w:r>
        <w:br w:type="page"/>
      </w:r>
    </w:p>
    <w:p w14:paraId="08632636" w14:textId="632A63E7" w:rsidR="008C0B70" w:rsidRPr="000E1920" w:rsidRDefault="00B30542" w:rsidP="00CF18D2">
      <w:pPr>
        <w:pStyle w:val="Overskrift1"/>
        <w:numPr>
          <w:ilvl w:val="0"/>
          <w:numId w:val="31"/>
        </w:numPr>
      </w:pPr>
      <w:bookmarkStart w:id="3" w:name="_Toc472263950"/>
      <w:bookmarkStart w:id="4" w:name="_Toc479234151"/>
      <w:r>
        <w:lastRenderedPageBreak/>
        <w:t>Introduction</w:t>
      </w:r>
      <w:bookmarkEnd w:id="3"/>
      <w:bookmarkEnd w:id="4"/>
      <w:r>
        <w:t xml:space="preserve"> </w:t>
      </w:r>
    </w:p>
    <w:p w14:paraId="39367476" w14:textId="77777777" w:rsidR="006B5535" w:rsidRPr="000E1920" w:rsidRDefault="006B5535" w:rsidP="006B5535">
      <w:pPr>
        <w:pStyle w:val="Overskrift3"/>
      </w:pPr>
      <w:bookmarkStart w:id="5" w:name="_Toc472263951"/>
    </w:p>
    <w:p w14:paraId="5EBDA262" w14:textId="02BA1EA6" w:rsidR="008B0596" w:rsidRPr="000E1920" w:rsidRDefault="008B0596" w:rsidP="006B5535">
      <w:pPr>
        <w:pStyle w:val="Overskrift3"/>
      </w:pPr>
      <w:bookmarkStart w:id="6" w:name="_Toc479234152"/>
      <w:r>
        <w:t>Strategic basis</w:t>
      </w:r>
      <w:bookmarkEnd w:id="5"/>
      <w:bookmarkEnd w:id="6"/>
    </w:p>
    <w:p w14:paraId="2C0B6F5B" w14:textId="297A5423" w:rsidR="008C0B70" w:rsidRPr="00D64D84" w:rsidRDefault="00E035BE" w:rsidP="000A69A6">
      <w:pPr>
        <w:spacing w:line="276" w:lineRule="auto"/>
        <w:rPr>
          <w:rFonts w:ascii="Calibri" w:hAnsi="Calibri" w:cstheme="minorHAnsi"/>
          <w:sz w:val="22"/>
          <w:szCs w:val="22"/>
        </w:rPr>
      </w:pPr>
      <w:r>
        <w:rPr>
          <w:rFonts w:ascii="Calibri" w:hAnsi="Calibri"/>
          <w:sz w:val="22"/>
          <w:szCs w:val="22"/>
        </w:rPr>
        <w:t xml:space="preserve">The work to promote diversity is based on the sector goals defined by the Ministry of Education and Research (KD) and in Oslo and </w:t>
      </w:r>
      <w:proofErr w:type="spellStart"/>
      <w:r>
        <w:rPr>
          <w:rFonts w:ascii="Calibri" w:hAnsi="Calibri"/>
          <w:sz w:val="22"/>
          <w:szCs w:val="22"/>
        </w:rPr>
        <w:t>Akershus</w:t>
      </w:r>
      <w:proofErr w:type="spellEnd"/>
      <w:r>
        <w:rPr>
          <w:rFonts w:ascii="Calibri" w:hAnsi="Calibri"/>
          <w:sz w:val="22"/>
          <w:szCs w:val="22"/>
        </w:rPr>
        <w:t xml:space="preserve"> University College of Applied Sciences' (</w:t>
      </w:r>
      <w:proofErr w:type="spellStart"/>
      <w:r>
        <w:rPr>
          <w:rFonts w:ascii="Calibri" w:hAnsi="Calibri"/>
          <w:sz w:val="22"/>
          <w:szCs w:val="22"/>
        </w:rPr>
        <w:t>HiOA</w:t>
      </w:r>
      <w:proofErr w:type="spellEnd"/>
      <w:r>
        <w:rPr>
          <w:rFonts w:ascii="Calibri" w:hAnsi="Calibri"/>
          <w:sz w:val="22"/>
          <w:szCs w:val="22"/>
        </w:rPr>
        <w:t>) main strategy: '</w:t>
      </w:r>
      <w:proofErr w:type="spellStart"/>
      <w:r>
        <w:rPr>
          <w:rFonts w:ascii="Calibri" w:hAnsi="Calibri"/>
          <w:sz w:val="22"/>
          <w:szCs w:val="22"/>
        </w:rPr>
        <w:t>HiOA</w:t>
      </w:r>
      <w:proofErr w:type="spellEnd"/>
      <w:r>
        <w:rPr>
          <w:rFonts w:ascii="Calibri" w:hAnsi="Calibri"/>
          <w:sz w:val="22"/>
          <w:szCs w:val="22"/>
        </w:rPr>
        <w:t xml:space="preserve"> is a metropolitan institution, located in a region whose demographic structure is more diverse than in other regions in Norway. This diversity gives us an advantage in terms of understanding and reaping the benefits of diversity. We must stimulate equality and demand tolerance of other people's beliefs and life philosophy, cultural background and gender.’</w:t>
      </w:r>
      <w:r w:rsidR="00EE704F">
        <w:rPr>
          <w:rStyle w:val="Fotnotereferanse"/>
          <w:rFonts w:ascii="Calibri" w:hAnsi="Calibri" w:cstheme="minorHAnsi"/>
          <w:sz w:val="22"/>
          <w:szCs w:val="22"/>
        </w:rPr>
        <w:footnoteReference w:id="1"/>
      </w:r>
      <w:r>
        <w:rPr>
          <w:rFonts w:ascii="Calibri" w:hAnsi="Calibri"/>
          <w:sz w:val="22"/>
          <w:szCs w:val="22"/>
        </w:rPr>
        <w:t xml:space="preserve"> In 2016, the </w:t>
      </w:r>
      <w:proofErr w:type="gramStart"/>
      <w:r>
        <w:rPr>
          <w:rFonts w:ascii="Calibri" w:hAnsi="Calibri"/>
          <w:sz w:val="22"/>
          <w:szCs w:val="22"/>
        </w:rPr>
        <w:t>university college's</w:t>
      </w:r>
      <w:proofErr w:type="gramEnd"/>
      <w:r>
        <w:rPr>
          <w:rFonts w:ascii="Calibri" w:hAnsi="Calibri"/>
          <w:sz w:val="22"/>
          <w:szCs w:val="22"/>
        </w:rPr>
        <w:t xml:space="preserve"> Board decided for the first time to allocate earmarked strategy funds to the institution’s efforts to promote diversity, thereby further consolidating these efforts. </w:t>
      </w:r>
    </w:p>
    <w:p w14:paraId="4DBBC329" w14:textId="77777777" w:rsidR="008C0B70" w:rsidRPr="000E1920" w:rsidRDefault="008C0B70" w:rsidP="000A69A6">
      <w:pPr>
        <w:spacing w:line="276" w:lineRule="auto"/>
        <w:rPr>
          <w:rFonts w:ascii="Calibri" w:hAnsi="Calibri" w:cstheme="minorHAnsi"/>
          <w:sz w:val="26"/>
          <w:szCs w:val="26"/>
        </w:rPr>
      </w:pPr>
    </w:p>
    <w:p w14:paraId="373AD236" w14:textId="4BA8D16D" w:rsidR="000D32A0" w:rsidRPr="000E1920" w:rsidRDefault="000D32A0" w:rsidP="006B5535">
      <w:pPr>
        <w:pStyle w:val="Overskrift3"/>
      </w:pPr>
      <w:bookmarkStart w:id="7" w:name="_Toc472263952"/>
      <w:bookmarkStart w:id="8" w:name="_Toc479234153"/>
      <w:r>
        <w:t>Goals and target groups</w:t>
      </w:r>
      <w:bookmarkEnd w:id="7"/>
      <w:bookmarkEnd w:id="8"/>
    </w:p>
    <w:p w14:paraId="669F450C" w14:textId="37753968" w:rsidR="008C0B70" w:rsidRPr="00D64D84" w:rsidRDefault="008B0596" w:rsidP="000A69A6">
      <w:pPr>
        <w:spacing w:line="276" w:lineRule="auto"/>
        <w:rPr>
          <w:rFonts w:ascii="Calibri" w:hAnsi="Calibri" w:cstheme="minorHAnsi"/>
          <w:sz w:val="22"/>
          <w:szCs w:val="22"/>
        </w:rPr>
      </w:pPr>
      <w:r>
        <w:rPr>
          <w:rFonts w:ascii="Calibri" w:hAnsi="Calibri"/>
          <w:sz w:val="22"/>
          <w:szCs w:val="22"/>
        </w:rPr>
        <w:t xml:space="preserve">The objective of this action plan is to create an inclusive working environment by promoting diversity and preventing discrimination in the workplace at </w:t>
      </w:r>
      <w:proofErr w:type="spellStart"/>
      <w:r>
        <w:rPr>
          <w:rFonts w:ascii="Calibri" w:hAnsi="Calibri"/>
          <w:sz w:val="22"/>
          <w:szCs w:val="22"/>
        </w:rPr>
        <w:t>HiOA</w:t>
      </w:r>
      <w:proofErr w:type="spellEnd"/>
      <w:r>
        <w:rPr>
          <w:rFonts w:ascii="Calibri" w:hAnsi="Calibri"/>
          <w:sz w:val="22"/>
          <w:szCs w:val="22"/>
        </w:rPr>
        <w:t xml:space="preserve">. As an employer, </w:t>
      </w:r>
      <w:proofErr w:type="spellStart"/>
      <w:r>
        <w:rPr>
          <w:rFonts w:ascii="Calibri" w:hAnsi="Calibri"/>
          <w:sz w:val="22"/>
          <w:szCs w:val="22"/>
        </w:rPr>
        <w:t>HiOA</w:t>
      </w:r>
      <w:proofErr w:type="spellEnd"/>
      <w:r>
        <w:rPr>
          <w:rFonts w:ascii="Calibri" w:hAnsi="Calibri"/>
          <w:sz w:val="22"/>
          <w:szCs w:val="22"/>
        </w:rPr>
        <w:t xml:space="preserve"> has a duty to make active, targeted and systematic efforts to this end. In addition to complying with the requirements of the law, it is deemed important and right to have a personnel policy that helps us to recruit the best minds, brings out the best in the university college's employees and ensures equal rights for all employees. It is both about fairness and about investing in getting the most out of the employees' resources. This action plan is intended to serve as a concrete tool in the active efforts to achieve an inclusive and fair personnel policy. The target group for this action plan is therefore </w:t>
      </w:r>
      <w:proofErr w:type="spellStart"/>
      <w:r>
        <w:rPr>
          <w:rFonts w:ascii="Calibri" w:hAnsi="Calibri"/>
          <w:sz w:val="22"/>
          <w:szCs w:val="22"/>
        </w:rPr>
        <w:t>HiOA's</w:t>
      </w:r>
      <w:proofErr w:type="spellEnd"/>
      <w:r>
        <w:rPr>
          <w:rFonts w:ascii="Calibri" w:hAnsi="Calibri"/>
          <w:sz w:val="22"/>
          <w:szCs w:val="22"/>
        </w:rPr>
        <w:t xml:space="preserve"> employees. </w:t>
      </w:r>
    </w:p>
    <w:p w14:paraId="0728B8A0" w14:textId="77777777" w:rsidR="008B0596" w:rsidRPr="00D64D84" w:rsidRDefault="008B0596" w:rsidP="000A69A6">
      <w:pPr>
        <w:spacing w:line="276" w:lineRule="auto"/>
        <w:rPr>
          <w:rFonts w:ascii="Calibri" w:hAnsi="Calibri" w:cstheme="minorHAnsi"/>
          <w:sz w:val="22"/>
          <w:szCs w:val="22"/>
        </w:rPr>
      </w:pPr>
    </w:p>
    <w:p w14:paraId="403F8EBE" w14:textId="71B2D1AC" w:rsidR="004E20D6" w:rsidRPr="00D64D84" w:rsidRDefault="004E20D6" w:rsidP="000A69A6">
      <w:pPr>
        <w:spacing w:line="276" w:lineRule="auto"/>
        <w:rPr>
          <w:rFonts w:ascii="Calibri" w:hAnsi="Calibri" w:cstheme="minorHAnsi"/>
          <w:sz w:val="22"/>
          <w:szCs w:val="22"/>
        </w:rPr>
      </w:pPr>
      <w:r>
        <w:rPr>
          <w:rFonts w:ascii="Calibri" w:hAnsi="Calibri"/>
          <w:sz w:val="22"/>
          <w:szCs w:val="22"/>
        </w:rPr>
        <w:t xml:space="preserve">This action plan introduces a change in that the goals and target group are partly expanded to include students. </w:t>
      </w:r>
      <w:proofErr w:type="spellStart"/>
      <w:r>
        <w:rPr>
          <w:rFonts w:ascii="Calibri" w:hAnsi="Calibri"/>
          <w:sz w:val="22"/>
          <w:szCs w:val="22"/>
        </w:rPr>
        <w:t>HiOA</w:t>
      </w:r>
      <w:proofErr w:type="spellEnd"/>
      <w:r>
        <w:rPr>
          <w:rFonts w:ascii="Calibri" w:hAnsi="Calibri"/>
          <w:sz w:val="22"/>
          <w:szCs w:val="22"/>
        </w:rPr>
        <w:t xml:space="preserve"> is geographically located in Norway’s most diverse region and considers it part of its social mission to have an organisational culture and a working and study environment that reflect this diversity. This responsibility includes both educating graduates who can respond to diversity in workplaces and society at large by practising equality </w:t>
      </w:r>
      <w:r>
        <w:rPr>
          <w:rFonts w:ascii="Calibri" w:hAnsi="Calibri"/>
          <w:i/>
          <w:sz w:val="22"/>
          <w:szCs w:val="22"/>
        </w:rPr>
        <w:t>and</w:t>
      </w:r>
      <w:r>
        <w:rPr>
          <w:rFonts w:ascii="Calibri" w:hAnsi="Calibri"/>
          <w:sz w:val="22"/>
          <w:szCs w:val="22"/>
        </w:rPr>
        <w:t xml:space="preserve"> being a safe and inclusive place to study.</w:t>
      </w:r>
    </w:p>
    <w:p w14:paraId="6153E6D6" w14:textId="77777777" w:rsidR="00535E99" w:rsidRPr="000E1920" w:rsidRDefault="00535E99" w:rsidP="000A69A6">
      <w:pPr>
        <w:pStyle w:val="Overskrift2"/>
        <w:spacing w:line="276" w:lineRule="auto"/>
        <w:rPr>
          <w:rFonts w:cstheme="minorHAnsi"/>
          <w:color w:val="auto"/>
        </w:rPr>
      </w:pPr>
    </w:p>
    <w:p w14:paraId="6ACB9B72" w14:textId="6338A8A8" w:rsidR="008B0596" w:rsidRPr="000E1920" w:rsidRDefault="00C474DC" w:rsidP="006B5535">
      <w:pPr>
        <w:pStyle w:val="Overskrift3"/>
      </w:pPr>
      <w:bookmarkStart w:id="9" w:name="_Toc472263953"/>
      <w:bookmarkStart w:id="10" w:name="_Toc479234154"/>
      <w:r>
        <w:t>From gender equality to diversity</w:t>
      </w:r>
      <w:bookmarkEnd w:id="9"/>
      <w:bookmarkEnd w:id="10"/>
      <w:r>
        <w:t xml:space="preserve"> </w:t>
      </w:r>
    </w:p>
    <w:p w14:paraId="4D7F71E9" w14:textId="5CF2ED63" w:rsidR="00606AEA" w:rsidRPr="00996559" w:rsidRDefault="00792980" w:rsidP="00606AEA">
      <w:pPr>
        <w:spacing w:line="276" w:lineRule="auto"/>
        <w:rPr>
          <w:rFonts w:ascii="Calibri" w:hAnsi="Calibri"/>
          <w:i/>
          <w:sz w:val="22"/>
          <w:szCs w:val="22"/>
        </w:rPr>
      </w:pPr>
      <w:r>
        <w:rPr>
          <w:rFonts w:ascii="Calibri" w:hAnsi="Calibri"/>
          <w:sz w:val="22"/>
          <w:szCs w:val="22"/>
        </w:rPr>
        <w:t xml:space="preserve">Diversity is one of </w:t>
      </w:r>
      <w:proofErr w:type="spellStart"/>
      <w:r>
        <w:rPr>
          <w:rFonts w:ascii="Calibri" w:hAnsi="Calibri"/>
          <w:sz w:val="22"/>
          <w:szCs w:val="22"/>
        </w:rPr>
        <w:t>HiOA’s</w:t>
      </w:r>
      <w:proofErr w:type="spellEnd"/>
      <w:r>
        <w:rPr>
          <w:rFonts w:ascii="Calibri" w:hAnsi="Calibri"/>
          <w:sz w:val="22"/>
          <w:szCs w:val="22"/>
        </w:rPr>
        <w:t xml:space="preserve"> core values, and the institution wants to apply this </w:t>
      </w:r>
      <w:r>
        <w:rPr>
          <w:rFonts w:ascii="Calibri" w:hAnsi="Calibri"/>
          <w:i/>
          <w:sz w:val="22"/>
          <w:szCs w:val="22"/>
        </w:rPr>
        <w:t>expanded equality concept</w:t>
      </w:r>
      <w:r>
        <w:rPr>
          <w:rFonts w:ascii="Calibri" w:hAnsi="Calibri"/>
          <w:sz w:val="22"/>
          <w:szCs w:val="22"/>
        </w:rPr>
        <w:t>.</w:t>
      </w:r>
      <w:r w:rsidR="00CC0C3B" w:rsidRPr="00D64D84">
        <w:rPr>
          <w:rStyle w:val="Fotnotereferanse"/>
          <w:rFonts w:ascii="Calibri" w:hAnsi="Calibri" w:cstheme="minorHAnsi"/>
          <w:sz w:val="22"/>
          <w:szCs w:val="22"/>
        </w:rPr>
        <w:footnoteReference w:id="2"/>
      </w:r>
      <w:r>
        <w:rPr>
          <w:rFonts w:ascii="Calibri" w:hAnsi="Calibri"/>
          <w:sz w:val="22"/>
          <w:szCs w:val="22"/>
        </w:rPr>
        <w:t xml:space="preserve"> Equality has traditionally been about gender equality to guarantee women and men equal rights, responsibilities and opportunities for education, work, and professional and personal development. Gender is only one of several inequality dimensions in society, however. It is about acknowledging that both prejudices and barriers can be complex, and thus also about developing measures that take account of this complexity. In this way, we take an intersectional approach to our work on equality.</w:t>
      </w:r>
      <w:r>
        <w:rPr>
          <w:rFonts w:ascii="Calibri" w:hAnsi="Calibri"/>
          <w:i/>
          <w:sz w:val="22"/>
          <w:szCs w:val="22"/>
        </w:rPr>
        <w:t xml:space="preserve"> Diversity is considered an important resource at </w:t>
      </w:r>
      <w:proofErr w:type="spellStart"/>
      <w:r>
        <w:rPr>
          <w:rFonts w:ascii="Calibri" w:hAnsi="Calibri"/>
          <w:i/>
          <w:sz w:val="22"/>
          <w:szCs w:val="22"/>
        </w:rPr>
        <w:t>HiOA</w:t>
      </w:r>
      <w:proofErr w:type="spellEnd"/>
      <w:r>
        <w:rPr>
          <w:rFonts w:ascii="Calibri" w:hAnsi="Calibri"/>
          <w:i/>
          <w:sz w:val="22"/>
          <w:szCs w:val="22"/>
        </w:rPr>
        <w:t xml:space="preserve">, and we believe that diversity of background and experience among staff and students is </w:t>
      </w:r>
      <w:proofErr w:type="gramStart"/>
      <w:r>
        <w:rPr>
          <w:rFonts w:ascii="Calibri" w:hAnsi="Calibri"/>
          <w:i/>
          <w:sz w:val="22"/>
          <w:szCs w:val="22"/>
        </w:rPr>
        <w:t>a strength</w:t>
      </w:r>
      <w:proofErr w:type="gramEnd"/>
      <w:r>
        <w:rPr>
          <w:rFonts w:ascii="Calibri" w:hAnsi="Calibri"/>
          <w:i/>
          <w:sz w:val="22"/>
          <w:szCs w:val="22"/>
        </w:rPr>
        <w:t xml:space="preserve"> in developing research and education in a society and region that are becoming increasingly diverse. </w:t>
      </w:r>
    </w:p>
    <w:p w14:paraId="36B4A7EF" w14:textId="77777777" w:rsidR="00194653" w:rsidRDefault="00194653">
      <w:pPr>
        <w:rPr>
          <w:rFonts w:ascii="Calibri" w:eastAsiaTheme="majorEastAsia" w:hAnsi="Calibri" w:cstheme="majorBidi"/>
          <w:b/>
          <w:color w:val="000000" w:themeColor="text1"/>
        </w:rPr>
      </w:pPr>
      <w:r>
        <w:br w:type="page"/>
      </w:r>
    </w:p>
    <w:p w14:paraId="437414AD" w14:textId="3CB63FA6" w:rsidR="00131D3C" w:rsidRPr="000E1920" w:rsidRDefault="00B70FBF" w:rsidP="006B5535">
      <w:pPr>
        <w:pStyle w:val="Overskrift3"/>
      </w:pPr>
      <w:bookmarkStart w:id="11" w:name="_Toc479234155"/>
      <w:r>
        <w:lastRenderedPageBreak/>
        <w:t>Clarification of terms and the structure of the plan</w:t>
      </w:r>
      <w:bookmarkEnd w:id="11"/>
    </w:p>
    <w:p w14:paraId="01D27C52" w14:textId="44948A9F" w:rsidR="00131D3C" w:rsidRPr="00D64D84" w:rsidRDefault="00B70FBF" w:rsidP="000337DB">
      <w:pPr>
        <w:spacing w:line="276" w:lineRule="auto"/>
        <w:rPr>
          <w:rFonts w:ascii="Calibri" w:hAnsi="Calibri"/>
          <w:sz w:val="22"/>
          <w:szCs w:val="22"/>
        </w:rPr>
      </w:pPr>
      <w:r>
        <w:rPr>
          <w:rFonts w:ascii="Calibri" w:hAnsi="Calibri"/>
          <w:sz w:val="22"/>
          <w:szCs w:val="22"/>
        </w:rPr>
        <w:t xml:space="preserve">The plan will give a general description of the current situation as regards gender, ethnicity and functional impairment, and describe the current diversity status of </w:t>
      </w:r>
      <w:proofErr w:type="spellStart"/>
      <w:r>
        <w:rPr>
          <w:rFonts w:ascii="Calibri" w:hAnsi="Calibri"/>
          <w:sz w:val="22"/>
          <w:szCs w:val="22"/>
        </w:rPr>
        <w:t>HiOA’s</w:t>
      </w:r>
      <w:proofErr w:type="spellEnd"/>
      <w:r>
        <w:rPr>
          <w:rFonts w:ascii="Calibri" w:hAnsi="Calibri"/>
          <w:sz w:val="22"/>
          <w:szCs w:val="22"/>
        </w:rPr>
        <w:t xml:space="preserve"> organisational culture, working and study environment. The decision to limit the plan to these three grounds for discrimination was made because they correspond to the obligations under the institution’s duty to actively promote equality.</w:t>
      </w:r>
      <w:r w:rsidR="00730860">
        <w:rPr>
          <w:rStyle w:val="Fotnotereferanse"/>
          <w:rFonts w:ascii="Calibri" w:hAnsi="Calibri"/>
          <w:sz w:val="22"/>
          <w:szCs w:val="22"/>
        </w:rPr>
        <w:footnoteReference w:id="3"/>
      </w:r>
      <w:r>
        <w:rPr>
          <w:rFonts w:ascii="Calibri" w:hAnsi="Calibri"/>
          <w:sz w:val="22"/>
          <w:szCs w:val="22"/>
        </w:rPr>
        <w:t xml:space="preserve"> The subsequent section on measures is not organised by grounds for discrimination but by areas of activity, since it is desirable to establish a diversity policy that is an integral part of </w:t>
      </w:r>
      <w:proofErr w:type="spellStart"/>
      <w:r>
        <w:rPr>
          <w:rFonts w:ascii="Calibri" w:hAnsi="Calibri"/>
          <w:sz w:val="22"/>
          <w:szCs w:val="22"/>
        </w:rPr>
        <w:t>HiOA’s</w:t>
      </w:r>
      <w:proofErr w:type="spellEnd"/>
      <w:r>
        <w:rPr>
          <w:rFonts w:ascii="Calibri" w:hAnsi="Calibri"/>
          <w:sz w:val="22"/>
          <w:szCs w:val="22"/>
        </w:rPr>
        <w:t xml:space="preserve"> structures and processes, and not just an appendage. Moreover, this way of organising the measures takes account of the intersectional dimension of work on discrimination and inclusion. The overall goal is for the organisation's culture and structure to be arranged in such a way as to allow </w:t>
      </w:r>
      <w:proofErr w:type="spellStart"/>
      <w:r>
        <w:rPr>
          <w:rFonts w:ascii="Calibri" w:hAnsi="Calibri"/>
          <w:sz w:val="22"/>
          <w:szCs w:val="22"/>
        </w:rPr>
        <w:t>HiOA</w:t>
      </w:r>
      <w:proofErr w:type="spellEnd"/>
      <w:r>
        <w:rPr>
          <w:rFonts w:ascii="Calibri" w:hAnsi="Calibri"/>
          <w:sz w:val="22"/>
          <w:szCs w:val="22"/>
        </w:rPr>
        <w:t xml:space="preserve"> to ‘reap the benefits of diversity’ (Strategy 2020). </w:t>
      </w:r>
    </w:p>
    <w:p w14:paraId="3AF58284" w14:textId="1A0B69B7" w:rsidR="0001632B" w:rsidRPr="000E1920" w:rsidRDefault="0001632B" w:rsidP="000A69A6">
      <w:pPr>
        <w:spacing w:line="276" w:lineRule="auto"/>
        <w:rPr>
          <w:rFonts w:ascii="Calibri" w:hAnsi="Calibri" w:cstheme="minorHAnsi"/>
          <w:sz w:val="20"/>
          <w:szCs w:val="20"/>
        </w:rPr>
      </w:pPr>
    </w:p>
    <w:p w14:paraId="494F43F9" w14:textId="4450AB5A" w:rsidR="00F57B02" w:rsidRDefault="00F57B02" w:rsidP="000A69A6">
      <w:pPr>
        <w:spacing w:line="276" w:lineRule="auto"/>
        <w:rPr>
          <w:rFonts w:ascii="Calibri" w:hAnsi="Calibri" w:cstheme="minorHAnsi"/>
          <w:sz w:val="20"/>
          <w:szCs w:val="20"/>
        </w:rPr>
      </w:pPr>
      <w:r>
        <w:br w:type="page"/>
      </w:r>
    </w:p>
    <w:p w14:paraId="79E045F4" w14:textId="45216FAF" w:rsidR="00B90325" w:rsidRDefault="00B90325">
      <w:pPr>
        <w:rPr>
          <w:rFonts w:ascii="Calibri" w:hAnsi="Calibri" w:cstheme="minorHAnsi"/>
          <w:sz w:val="20"/>
          <w:szCs w:val="20"/>
        </w:rPr>
      </w:pPr>
      <w:r>
        <w:rPr>
          <w:rFonts w:cstheme="minorHAnsi"/>
          <w:noProof/>
          <w:sz w:val="36"/>
          <w:szCs w:val="36"/>
          <w:lang w:val="nb-NO" w:eastAsia="nb-NO"/>
        </w:rPr>
        <w:lastRenderedPageBreak/>
        <w:drawing>
          <wp:anchor distT="0" distB="0" distL="114300" distR="114300" simplePos="0" relativeHeight="251666432" behindDoc="1" locked="0" layoutInCell="1" allowOverlap="1" wp14:anchorId="2EC6606C" wp14:editId="240B3F89">
            <wp:simplePos x="0" y="0"/>
            <wp:positionH relativeFrom="page">
              <wp:align>left</wp:align>
            </wp:positionH>
            <wp:positionV relativeFrom="page">
              <wp:align>top</wp:align>
            </wp:positionV>
            <wp:extent cx="7556400" cy="10688400"/>
            <wp:effectExtent l="0" t="0" r="6985"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dlingsplan_tilstan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56400" cy="10688400"/>
                    </a:xfrm>
                    <a:prstGeom prst="rect">
                      <a:avLst/>
                    </a:prstGeom>
                  </pic:spPr>
                </pic:pic>
              </a:graphicData>
            </a:graphic>
            <wp14:sizeRelH relativeFrom="margin">
              <wp14:pctWidth>0</wp14:pctWidth>
            </wp14:sizeRelH>
            <wp14:sizeRelV relativeFrom="margin">
              <wp14:pctHeight>0</wp14:pctHeight>
            </wp14:sizeRelV>
          </wp:anchor>
        </w:drawing>
      </w:r>
    </w:p>
    <w:p w14:paraId="65CA8199" w14:textId="59785EF8" w:rsidR="00B90325" w:rsidRDefault="00B90325">
      <w:pPr>
        <w:rPr>
          <w:rFonts w:ascii="Calibri" w:hAnsi="Calibri" w:cstheme="minorHAnsi"/>
          <w:sz w:val="20"/>
          <w:szCs w:val="20"/>
        </w:rPr>
      </w:pPr>
      <w:r>
        <w:br w:type="page"/>
      </w:r>
    </w:p>
    <w:p w14:paraId="427F6480" w14:textId="59B3EE28" w:rsidR="00A64A70" w:rsidRPr="000E1920" w:rsidRDefault="00A64A70" w:rsidP="00CF18D2">
      <w:pPr>
        <w:pStyle w:val="Overskrift1"/>
        <w:numPr>
          <w:ilvl w:val="0"/>
          <w:numId w:val="31"/>
        </w:numPr>
      </w:pPr>
      <w:bookmarkStart w:id="12" w:name="_Toc472263955"/>
      <w:bookmarkStart w:id="13" w:name="_Toc479234156"/>
      <w:r>
        <w:lastRenderedPageBreak/>
        <w:t>Current status</w:t>
      </w:r>
      <w:bookmarkEnd w:id="12"/>
      <w:bookmarkEnd w:id="13"/>
    </w:p>
    <w:p w14:paraId="084323CA" w14:textId="520CDF58" w:rsidR="00851AD6" w:rsidRPr="0098031C" w:rsidRDefault="0001481E" w:rsidP="000A69A6">
      <w:pPr>
        <w:pStyle w:val="Brdtekst1"/>
        <w:rPr>
          <w:rFonts w:cstheme="minorHAnsi"/>
          <w:color w:val="auto"/>
        </w:rPr>
      </w:pPr>
      <w:r>
        <w:rPr>
          <w:color w:val="auto"/>
        </w:rPr>
        <w:t xml:space="preserve">The main challenge relating to mapping current status and thereby also identifying challenges relating to all grounds for discrimination, with the exception of gender, is that the data are limited or non-existent. Statistics cannot and should not be complied for all possible grounds for discrimination. However, this also limits the possibility to monitor developments and set target figures. In these areas we therefore have to take as our point of departure the </w:t>
      </w:r>
      <w:r>
        <w:rPr>
          <w:i/>
          <w:color w:val="auto"/>
        </w:rPr>
        <w:t>perceived</w:t>
      </w:r>
      <w:r>
        <w:rPr>
          <w:color w:val="auto"/>
        </w:rPr>
        <w:t xml:space="preserve"> status or a wish to develop an organisational culture and a working and study environment characterised by diversity regardless of the measured status. </w:t>
      </w:r>
      <w:bookmarkStart w:id="14" w:name="_Toc472263958"/>
    </w:p>
    <w:p w14:paraId="2A18D29C" w14:textId="6862DB33" w:rsidR="00851AD6" w:rsidRPr="0098031C" w:rsidRDefault="00CC0B5F" w:rsidP="000A69A6">
      <w:pPr>
        <w:pStyle w:val="Brdtekst1"/>
        <w:rPr>
          <w:rFonts w:cstheme="minorHAnsi"/>
          <w:color w:val="auto"/>
        </w:rPr>
      </w:pPr>
      <w:r>
        <w:rPr>
          <w:color w:val="auto"/>
        </w:rPr>
        <w:t xml:space="preserve">Below is a brief description of different activities that together contribute to </w:t>
      </w:r>
      <w:proofErr w:type="spellStart"/>
      <w:r>
        <w:rPr>
          <w:color w:val="auto"/>
        </w:rPr>
        <w:t>HiOA’s</w:t>
      </w:r>
      <w:proofErr w:type="spellEnd"/>
      <w:r>
        <w:rPr>
          <w:color w:val="auto"/>
        </w:rPr>
        <w:t xml:space="preserve"> working environment and organisational culture being characterised by our core value diversity. We will then review selected status indicators for gender, ethnicity and functional ability as grounds for discrimination. </w:t>
      </w:r>
    </w:p>
    <w:p w14:paraId="6C09E687" w14:textId="3947B97A" w:rsidR="00851AD6" w:rsidRPr="000E1920" w:rsidRDefault="00851AD6" w:rsidP="006B5535">
      <w:pPr>
        <w:pStyle w:val="Overskrift3"/>
      </w:pPr>
      <w:bookmarkStart w:id="15" w:name="_Toc479234157"/>
      <w:r>
        <w:t>An organisational culture and a working environment characterised by diversity</w:t>
      </w:r>
      <w:bookmarkEnd w:id="14"/>
      <w:bookmarkEnd w:id="15"/>
    </w:p>
    <w:p w14:paraId="529B49B1" w14:textId="733F4301" w:rsidR="007B76AB" w:rsidRPr="0098031C" w:rsidRDefault="00851AD6" w:rsidP="000A69A6">
      <w:pPr>
        <w:pStyle w:val="Brdtekst1"/>
        <w:rPr>
          <w:rFonts w:cstheme="minorHAnsi"/>
          <w:color w:val="auto"/>
        </w:rPr>
      </w:pPr>
      <w:proofErr w:type="spellStart"/>
      <w:r>
        <w:rPr>
          <w:color w:val="auto"/>
        </w:rPr>
        <w:t>HiOA</w:t>
      </w:r>
      <w:proofErr w:type="spellEnd"/>
      <w:r>
        <w:rPr>
          <w:color w:val="auto"/>
        </w:rPr>
        <w:t xml:space="preserve"> shall have an organisational culture and a working and study environment characterised by diversity. Different measures and initiatives underpin this goal: </w:t>
      </w:r>
    </w:p>
    <w:p w14:paraId="454C41F4" w14:textId="03C259E4" w:rsidR="007B76AB" w:rsidRPr="0098031C" w:rsidRDefault="007B76AB" w:rsidP="000A69A6">
      <w:pPr>
        <w:pStyle w:val="Brdtekst1"/>
        <w:rPr>
          <w:rFonts w:cstheme="minorHAnsi"/>
          <w:color w:val="auto"/>
        </w:rPr>
      </w:pPr>
      <w:r>
        <w:rPr>
          <w:color w:val="auto"/>
        </w:rPr>
        <w:t xml:space="preserve">The </w:t>
      </w:r>
      <w:proofErr w:type="spellStart"/>
      <w:r>
        <w:rPr>
          <w:color w:val="auto"/>
        </w:rPr>
        <w:t>HiOA</w:t>
      </w:r>
      <w:proofErr w:type="spellEnd"/>
      <w:r>
        <w:rPr>
          <w:color w:val="auto"/>
        </w:rPr>
        <w:t xml:space="preserve"> Academy, </w:t>
      </w:r>
      <w:proofErr w:type="spellStart"/>
      <w:r>
        <w:rPr>
          <w:color w:val="auto"/>
        </w:rPr>
        <w:t>HiOA’s</w:t>
      </w:r>
      <w:proofErr w:type="spellEnd"/>
      <w:r>
        <w:rPr>
          <w:color w:val="auto"/>
        </w:rPr>
        <w:t xml:space="preserve"> career and competence development provider for all employees, was relaunched in autumn 2016 with diversity as one of its most important strategic focus areas. The Academy offers a variety of courses and training measures for defined target groups to raise employee's diversity competence on topic such as:</w:t>
      </w:r>
      <w:r w:rsidR="0076241A">
        <w:rPr>
          <w:color w:val="auto"/>
        </w:rPr>
        <w:t xml:space="preserve"> </w:t>
      </w:r>
    </w:p>
    <w:p w14:paraId="3C6FCCB2" w14:textId="77777777" w:rsidR="007B76AB" w:rsidRPr="0098031C" w:rsidRDefault="007B76AB" w:rsidP="00464C6D">
      <w:pPr>
        <w:pStyle w:val="Brdtekst1"/>
        <w:numPr>
          <w:ilvl w:val="0"/>
          <w:numId w:val="32"/>
        </w:numPr>
        <w:spacing w:line="240" w:lineRule="auto"/>
        <w:rPr>
          <w:rFonts w:cstheme="minorHAnsi"/>
          <w:color w:val="auto"/>
        </w:rPr>
      </w:pPr>
      <w:r>
        <w:rPr>
          <w:color w:val="auto"/>
        </w:rPr>
        <w:t>Recruiting diversity – which recruitment procedures promote and inhibit diversity?</w:t>
      </w:r>
    </w:p>
    <w:p w14:paraId="0889579E" w14:textId="15608420" w:rsidR="007B76AB" w:rsidRPr="0098031C" w:rsidRDefault="007B76AB" w:rsidP="00464C6D">
      <w:pPr>
        <w:pStyle w:val="Brdtekst1"/>
        <w:numPr>
          <w:ilvl w:val="0"/>
          <w:numId w:val="32"/>
        </w:numPr>
        <w:spacing w:line="240" w:lineRule="auto"/>
        <w:rPr>
          <w:rFonts w:cstheme="minorHAnsi"/>
          <w:color w:val="auto"/>
        </w:rPr>
      </w:pPr>
      <w:r>
        <w:rPr>
          <w:color w:val="auto"/>
        </w:rPr>
        <w:t>Implicit prejudice as an obstacle to diversity in the workplace</w:t>
      </w:r>
    </w:p>
    <w:p w14:paraId="17F2EB9E" w14:textId="118669B8" w:rsidR="007B76AB" w:rsidRPr="0098031C" w:rsidRDefault="007B76AB" w:rsidP="00464C6D">
      <w:pPr>
        <w:pStyle w:val="Brdtekst1"/>
        <w:numPr>
          <w:ilvl w:val="0"/>
          <w:numId w:val="32"/>
        </w:numPr>
        <w:spacing w:line="240" w:lineRule="auto"/>
        <w:rPr>
          <w:rFonts w:cstheme="minorHAnsi"/>
          <w:color w:val="auto"/>
        </w:rPr>
      </w:pPr>
      <w:r>
        <w:rPr>
          <w:i/>
          <w:color w:val="auto"/>
        </w:rPr>
        <w:t xml:space="preserve">Rosa </w:t>
      </w:r>
      <w:proofErr w:type="spellStart"/>
      <w:r>
        <w:rPr>
          <w:i/>
          <w:color w:val="auto"/>
        </w:rPr>
        <w:t>kompetanse</w:t>
      </w:r>
      <w:proofErr w:type="spellEnd"/>
      <w:r>
        <w:rPr>
          <w:color w:val="auto"/>
        </w:rPr>
        <w:t xml:space="preserve"> (‘Pink competence’) – how to behave in a secure and inclusive manner in the workplace in relation to sexual orientation and gender identity </w:t>
      </w:r>
    </w:p>
    <w:p w14:paraId="5D45CE1C" w14:textId="77777777" w:rsidR="007B76AB" w:rsidRPr="0098031C" w:rsidRDefault="007B76AB" w:rsidP="00464C6D">
      <w:pPr>
        <w:pStyle w:val="Brdtekst1"/>
        <w:numPr>
          <w:ilvl w:val="0"/>
          <w:numId w:val="32"/>
        </w:numPr>
        <w:spacing w:line="240" w:lineRule="auto"/>
        <w:rPr>
          <w:rFonts w:cstheme="minorHAnsi"/>
          <w:color w:val="auto"/>
        </w:rPr>
      </w:pPr>
      <w:r>
        <w:rPr>
          <w:color w:val="auto"/>
        </w:rPr>
        <w:t xml:space="preserve">Organisational culture and diversity </w:t>
      </w:r>
    </w:p>
    <w:p w14:paraId="716643A2" w14:textId="1B0C2C71" w:rsidR="007C3772" w:rsidRPr="0098031C" w:rsidRDefault="007B76AB" w:rsidP="000773E6">
      <w:pPr>
        <w:pStyle w:val="Brdtekst1"/>
        <w:numPr>
          <w:ilvl w:val="0"/>
          <w:numId w:val="32"/>
        </w:numPr>
        <w:spacing w:line="240" w:lineRule="auto"/>
        <w:rPr>
          <w:rFonts w:cstheme="minorHAnsi"/>
          <w:color w:val="auto"/>
        </w:rPr>
      </w:pPr>
      <w:r>
        <w:rPr>
          <w:color w:val="auto"/>
        </w:rPr>
        <w:t xml:space="preserve">Universal ICT design </w:t>
      </w:r>
    </w:p>
    <w:p w14:paraId="155F81D5" w14:textId="2AA6D910" w:rsidR="00D02A1D" w:rsidRDefault="007B76AB" w:rsidP="000A69A6">
      <w:pPr>
        <w:pStyle w:val="Brdtekst1"/>
        <w:rPr>
          <w:rFonts w:cstheme="minorHAnsi"/>
          <w:color w:val="auto"/>
        </w:rPr>
      </w:pPr>
      <w:proofErr w:type="spellStart"/>
      <w:r>
        <w:rPr>
          <w:color w:val="auto"/>
        </w:rPr>
        <w:t>HiOA's</w:t>
      </w:r>
      <w:proofErr w:type="spellEnd"/>
      <w:r>
        <w:rPr>
          <w:color w:val="auto"/>
        </w:rPr>
        <w:t xml:space="preserve"> culture committee ensures that the institution's core value of diversity is reflected in the cultural events organised for students as well as staff. It hosts queer lunches, feminist literature events, international women's day events etc. In 2017, </w:t>
      </w:r>
      <w:proofErr w:type="spellStart"/>
      <w:r>
        <w:rPr>
          <w:color w:val="auto"/>
        </w:rPr>
        <w:t>HiOA</w:t>
      </w:r>
      <w:proofErr w:type="spellEnd"/>
      <w:r>
        <w:rPr>
          <w:color w:val="auto"/>
        </w:rPr>
        <w:t xml:space="preserve"> will become the first Norwegian institution of higher education to become a Pride Partner, which entails visible support at institutional level for sexual diversity. </w:t>
      </w:r>
      <w:proofErr w:type="spellStart"/>
      <w:r>
        <w:rPr>
          <w:color w:val="auto"/>
        </w:rPr>
        <w:t>HiOA</w:t>
      </w:r>
      <w:proofErr w:type="spellEnd"/>
      <w:r>
        <w:rPr>
          <w:color w:val="auto"/>
        </w:rPr>
        <w:t xml:space="preserve"> will also be hosting the national networking conference for diversity in the university and university college sector in April 2017. The conference will focus on the expanded concept of diversity and how it can be incorporated into organisation and management work in Norwegian academia. </w:t>
      </w:r>
    </w:p>
    <w:p w14:paraId="361590E5" w14:textId="5E088A1E" w:rsidR="002E6458" w:rsidRPr="0098031C" w:rsidRDefault="00D02A1D" w:rsidP="000A69A6">
      <w:pPr>
        <w:pStyle w:val="Brdtekst1"/>
        <w:rPr>
          <w:rFonts w:cstheme="minorHAnsi"/>
          <w:color w:val="auto"/>
        </w:rPr>
      </w:pPr>
      <w:r>
        <w:rPr>
          <w:color w:val="auto"/>
        </w:rPr>
        <w:t xml:space="preserve">The core value diversity is presented to all new members of staff during their introduction days at </w:t>
      </w:r>
      <w:proofErr w:type="spellStart"/>
      <w:r>
        <w:rPr>
          <w:color w:val="auto"/>
        </w:rPr>
        <w:t>HiOA</w:t>
      </w:r>
      <w:proofErr w:type="spellEnd"/>
      <w:r>
        <w:rPr>
          <w:color w:val="auto"/>
        </w:rPr>
        <w:t xml:space="preserve">, and the working environment committee (AMU) and the formalised cooperation between the social partners (the information, discussion and negotiations cooperation, IDF) receive regular updates on the status of work on equality and has the opportunity to influence this work. </w:t>
      </w:r>
      <w:proofErr w:type="spellStart"/>
      <w:r>
        <w:rPr>
          <w:color w:val="auto"/>
        </w:rPr>
        <w:t>HiOA</w:t>
      </w:r>
      <w:proofErr w:type="spellEnd"/>
      <w:r>
        <w:rPr>
          <w:color w:val="auto"/>
        </w:rPr>
        <w:t xml:space="preserve"> has a diversity committee comprising representatives of all the faculties and centres, the students and the administration. The committee meets between four and six times a year and acts as an advisory body in matters concerning diversity and equality. </w:t>
      </w:r>
    </w:p>
    <w:p w14:paraId="7C4AF151" w14:textId="1A1CC2F7" w:rsidR="00851AD6" w:rsidRPr="0098031C" w:rsidRDefault="00C05EA6" w:rsidP="00816502">
      <w:pPr>
        <w:pStyle w:val="Brdtekst1"/>
        <w:rPr>
          <w:rFonts w:cstheme="minorHAnsi"/>
        </w:rPr>
      </w:pPr>
      <w:r>
        <w:rPr>
          <w:color w:val="auto"/>
        </w:rPr>
        <w:t xml:space="preserve">Together, these measures help to create and maintain an organisational culture and a university college environment characterised by diversity. The chief responsibility for coordinating, planning and implementing the environmental and cultural measures rests with the position of programme director for culture, diversity and </w:t>
      </w:r>
      <w:r w:rsidR="003112E8">
        <w:rPr>
          <w:color w:val="auto"/>
        </w:rPr>
        <w:t>welfare,</w:t>
      </w:r>
      <w:r>
        <w:rPr>
          <w:color w:val="auto"/>
        </w:rPr>
        <w:t xml:space="preserve"> which is organised as part of the joint administration (FA). </w:t>
      </w:r>
      <w:r w:rsidR="0098031C">
        <w:br w:type="page"/>
      </w:r>
    </w:p>
    <w:p w14:paraId="56F08F40" w14:textId="40A7324F" w:rsidR="0095722E" w:rsidRPr="000E1920" w:rsidRDefault="00AB6918" w:rsidP="000A69A6">
      <w:pPr>
        <w:pStyle w:val="Overskrift2"/>
        <w:spacing w:line="276" w:lineRule="auto"/>
        <w:rPr>
          <w:color w:val="auto"/>
          <w:szCs w:val="28"/>
        </w:rPr>
      </w:pPr>
      <w:bookmarkStart w:id="16" w:name="_Toc472263959"/>
      <w:bookmarkStart w:id="17" w:name="_Toc479234158"/>
      <w:r>
        <w:rPr>
          <w:color w:val="auto"/>
          <w:szCs w:val="28"/>
        </w:rPr>
        <w:lastRenderedPageBreak/>
        <w:t>2.1 Gender</w:t>
      </w:r>
      <w:bookmarkEnd w:id="16"/>
      <w:bookmarkEnd w:id="17"/>
    </w:p>
    <w:p w14:paraId="544E1994" w14:textId="27238A3A" w:rsidR="0095722E" w:rsidRPr="0098031C" w:rsidRDefault="000B6908" w:rsidP="000A69A6">
      <w:pPr>
        <w:spacing w:line="276" w:lineRule="auto"/>
        <w:rPr>
          <w:rFonts w:ascii="Calibri" w:hAnsi="Calibri"/>
          <w:sz w:val="22"/>
          <w:szCs w:val="22"/>
        </w:rPr>
      </w:pPr>
      <w:r>
        <w:rPr>
          <w:rFonts w:ascii="Calibri" w:hAnsi="Calibri"/>
          <w:sz w:val="22"/>
          <w:szCs w:val="22"/>
        </w:rPr>
        <w:t xml:space="preserve">Gender equality has mainly been linked to lack of equality for women, but men can also be victims of gender discrimination. It is a goal for </w:t>
      </w:r>
      <w:proofErr w:type="spellStart"/>
      <w:r>
        <w:rPr>
          <w:rFonts w:ascii="Calibri" w:hAnsi="Calibri"/>
          <w:sz w:val="22"/>
          <w:szCs w:val="22"/>
        </w:rPr>
        <w:t>HiOA</w:t>
      </w:r>
      <w:proofErr w:type="spellEnd"/>
      <w:r>
        <w:rPr>
          <w:rFonts w:ascii="Calibri" w:hAnsi="Calibri"/>
          <w:sz w:val="22"/>
          <w:szCs w:val="22"/>
        </w:rPr>
        <w:t xml:space="preserve"> to have good gender balance both in teaching and research (TR) positions and in technical and administrative (TA) positions, as well as in the student body. </w:t>
      </w:r>
      <w:proofErr w:type="spellStart"/>
      <w:r>
        <w:rPr>
          <w:rFonts w:ascii="Calibri" w:hAnsi="Calibri"/>
          <w:sz w:val="22"/>
          <w:szCs w:val="22"/>
        </w:rPr>
        <w:t>HiOA</w:t>
      </w:r>
      <w:proofErr w:type="spellEnd"/>
      <w:r>
        <w:rPr>
          <w:rFonts w:ascii="Calibri" w:hAnsi="Calibri"/>
          <w:sz w:val="22"/>
          <w:szCs w:val="22"/>
        </w:rPr>
        <w:t xml:space="preserve"> shall provide equal opportunities for work and development and ensure that varied experience and relevant gender theory perspectives are reflected in teaching and research as well as in the study and working environment. </w:t>
      </w:r>
    </w:p>
    <w:p w14:paraId="5B388124" w14:textId="77777777" w:rsidR="009A2CE5" w:rsidRPr="000E1920" w:rsidRDefault="009A2CE5" w:rsidP="000A69A6">
      <w:pPr>
        <w:spacing w:line="276" w:lineRule="auto"/>
        <w:rPr>
          <w:rFonts w:ascii="Calibri" w:hAnsi="Calibri"/>
          <w:sz w:val="20"/>
          <w:szCs w:val="20"/>
        </w:rPr>
      </w:pPr>
    </w:p>
    <w:p w14:paraId="24BA6DC1" w14:textId="1E5D6A7C" w:rsidR="00AF69B2" w:rsidRPr="000E1920" w:rsidRDefault="00B55C83" w:rsidP="000A69A6">
      <w:pPr>
        <w:pStyle w:val="Overskrift3"/>
        <w:spacing w:line="276" w:lineRule="auto"/>
        <w:rPr>
          <w:color w:val="auto"/>
          <w:szCs w:val="26"/>
        </w:rPr>
      </w:pPr>
      <w:bookmarkStart w:id="18" w:name="_Toc472263960"/>
      <w:bookmarkStart w:id="19" w:name="_Toc479234159"/>
      <w:r>
        <w:rPr>
          <w:color w:val="auto"/>
          <w:szCs w:val="26"/>
        </w:rPr>
        <w:t>Gender balance</w:t>
      </w:r>
      <w:bookmarkEnd w:id="18"/>
      <w:bookmarkEnd w:id="19"/>
    </w:p>
    <w:p w14:paraId="099907B3" w14:textId="09E9B90B" w:rsidR="00DE049B" w:rsidRPr="0098031C" w:rsidRDefault="00DE049B" w:rsidP="00DE049B">
      <w:pPr>
        <w:spacing w:line="276" w:lineRule="auto"/>
        <w:rPr>
          <w:rFonts w:ascii="Calibri" w:hAnsi="Calibri"/>
          <w:sz w:val="22"/>
          <w:szCs w:val="22"/>
        </w:rPr>
      </w:pPr>
      <w:r>
        <w:rPr>
          <w:rFonts w:ascii="Calibri" w:hAnsi="Calibri"/>
          <w:sz w:val="22"/>
          <w:szCs w:val="22"/>
        </w:rPr>
        <w:t xml:space="preserve">Oslo and </w:t>
      </w:r>
      <w:proofErr w:type="spellStart"/>
      <w:r>
        <w:rPr>
          <w:rFonts w:ascii="Calibri" w:hAnsi="Calibri"/>
          <w:sz w:val="22"/>
          <w:szCs w:val="22"/>
        </w:rPr>
        <w:t>Akershus</w:t>
      </w:r>
      <w:proofErr w:type="spellEnd"/>
      <w:r>
        <w:rPr>
          <w:rFonts w:ascii="Calibri" w:hAnsi="Calibri"/>
          <w:sz w:val="22"/>
          <w:szCs w:val="22"/>
        </w:rPr>
        <w:t xml:space="preserve"> University College of Applied Sciences has a very good gender balance in top academic positions, with 47.4% women and 52.6% men. This is the most balanced proportion in the university and university college sector, and the institution is close to reaching the goal of having a fifty-fifty distribution. In comparison, the average percentage of female professors at the other universities and university colleges in Norway was 26.7% in 2015.</w:t>
      </w:r>
      <w:r w:rsidRPr="0098031C">
        <w:rPr>
          <w:rStyle w:val="Fotnotereferanse"/>
          <w:rFonts w:ascii="Calibri" w:hAnsi="Calibri"/>
          <w:sz w:val="22"/>
          <w:szCs w:val="22"/>
        </w:rPr>
        <w:footnoteReference w:id="4"/>
      </w:r>
      <w:r>
        <w:rPr>
          <w:rFonts w:ascii="Calibri" w:hAnsi="Calibri"/>
          <w:sz w:val="22"/>
          <w:szCs w:val="22"/>
        </w:rPr>
        <w:t xml:space="preserve"> </w:t>
      </w:r>
    </w:p>
    <w:p w14:paraId="4EC90BCF" w14:textId="77777777" w:rsidR="00DE049B" w:rsidRDefault="00DE049B" w:rsidP="00DE049B">
      <w:pPr>
        <w:spacing w:line="276" w:lineRule="auto"/>
      </w:pPr>
    </w:p>
    <w:tbl>
      <w:tblPr>
        <w:tblW w:w="10206" w:type="dxa"/>
        <w:tblCellMar>
          <w:left w:w="0" w:type="dxa"/>
          <w:right w:w="0" w:type="dxa"/>
        </w:tblCellMar>
        <w:tblLook w:val="04A0" w:firstRow="1" w:lastRow="0" w:firstColumn="1" w:lastColumn="0" w:noHBand="0" w:noVBand="1"/>
      </w:tblPr>
      <w:tblGrid>
        <w:gridCol w:w="3534"/>
        <w:gridCol w:w="992"/>
        <w:gridCol w:w="1701"/>
        <w:gridCol w:w="1418"/>
        <w:gridCol w:w="1417"/>
        <w:gridCol w:w="1144"/>
      </w:tblGrid>
      <w:tr w:rsidR="00DE049B" w14:paraId="69668FF8" w14:textId="77777777" w:rsidTr="000A055B">
        <w:trPr>
          <w:trHeight w:val="300"/>
        </w:trPr>
        <w:tc>
          <w:tcPr>
            <w:tcW w:w="3534" w:type="dxa"/>
            <w:vMerge w:val="restart"/>
            <w:tcBorders>
              <w:top w:val="single" w:sz="8" w:space="0" w:color="auto"/>
              <w:left w:val="single" w:sz="8" w:space="0" w:color="auto"/>
              <w:bottom w:val="single" w:sz="8" w:space="0" w:color="000000"/>
              <w:right w:val="single" w:sz="8" w:space="0" w:color="auto"/>
            </w:tcBorders>
            <w:shd w:val="clear" w:color="auto" w:fill="FCE4D6"/>
            <w:noWrap/>
            <w:tcMar>
              <w:top w:w="0" w:type="dxa"/>
              <w:left w:w="70" w:type="dxa"/>
              <w:bottom w:w="0" w:type="dxa"/>
              <w:right w:w="70" w:type="dxa"/>
            </w:tcMar>
            <w:vAlign w:val="center"/>
            <w:hideMark/>
          </w:tcPr>
          <w:p w14:paraId="11D6DD5E" w14:textId="77777777" w:rsidR="00DE049B" w:rsidRPr="005D486C" w:rsidRDefault="00DE049B">
            <w:pPr>
              <w:spacing w:line="276" w:lineRule="auto"/>
              <w:jc w:val="center"/>
              <w:rPr>
                <w:rFonts w:ascii="Calibri" w:hAnsi="Calibri"/>
                <w:sz w:val="22"/>
                <w:szCs w:val="22"/>
                <w:bdr w:val="none" w:sz="0" w:space="0" w:color="auto" w:frame="1"/>
              </w:rPr>
            </w:pPr>
            <w:r>
              <w:rPr>
                <w:rFonts w:ascii="Calibri" w:hAnsi="Calibri"/>
                <w:sz w:val="22"/>
                <w:szCs w:val="22"/>
                <w:bdr w:val="none" w:sz="0" w:space="0" w:color="auto" w:frame="1"/>
              </w:rPr>
              <w:t xml:space="preserve">Position categories, </w:t>
            </w:r>
            <w:proofErr w:type="spellStart"/>
            <w:r>
              <w:rPr>
                <w:rFonts w:ascii="Calibri" w:hAnsi="Calibri"/>
                <w:sz w:val="22"/>
                <w:szCs w:val="22"/>
                <w:bdr w:val="none" w:sz="0" w:space="0" w:color="auto" w:frame="1"/>
              </w:rPr>
              <w:t>HiOA</w:t>
            </w:r>
            <w:proofErr w:type="spellEnd"/>
            <w:r>
              <w:rPr>
                <w:rFonts w:ascii="Calibri" w:hAnsi="Calibri"/>
                <w:sz w:val="22"/>
                <w:szCs w:val="22"/>
                <w:bdr w:val="none" w:sz="0" w:space="0" w:color="auto" w:frame="1"/>
              </w:rPr>
              <w:t xml:space="preserve"> as a whole</w:t>
            </w:r>
          </w:p>
        </w:tc>
        <w:tc>
          <w:tcPr>
            <w:tcW w:w="992" w:type="dxa"/>
            <w:vMerge w:val="restart"/>
            <w:tcBorders>
              <w:top w:val="single" w:sz="8" w:space="0" w:color="auto"/>
              <w:left w:val="nil"/>
              <w:bottom w:val="single" w:sz="8" w:space="0" w:color="000000"/>
              <w:right w:val="single" w:sz="8" w:space="0" w:color="auto"/>
            </w:tcBorders>
            <w:shd w:val="clear" w:color="auto" w:fill="FCE4D6"/>
            <w:noWrap/>
            <w:tcMar>
              <w:top w:w="0" w:type="dxa"/>
              <w:left w:w="70" w:type="dxa"/>
              <w:bottom w:w="0" w:type="dxa"/>
              <w:right w:w="70" w:type="dxa"/>
            </w:tcMar>
            <w:vAlign w:val="center"/>
            <w:hideMark/>
          </w:tcPr>
          <w:p w14:paraId="7AF71877" w14:textId="77777777" w:rsidR="00DE049B" w:rsidRPr="005D486C" w:rsidRDefault="00DE049B">
            <w:pPr>
              <w:spacing w:line="276" w:lineRule="auto"/>
              <w:jc w:val="center"/>
              <w:rPr>
                <w:rFonts w:ascii="Calibri" w:hAnsi="Calibri"/>
                <w:sz w:val="22"/>
                <w:szCs w:val="22"/>
                <w:bdr w:val="none" w:sz="0" w:space="0" w:color="auto" w:frame="1"/>
              </w:rPr>
            </w:pPr>
            <w:r>
              <w:rPr>
                <w:rFonts w:ascii="Calibri" w:hAnsi="Calibri"/>
                <w:sz w:val="22"/>
                <w:szCs w:val="22"/>
                <w:bdr w:val="none" w:sz="0" w:space="0" w:color="auto" w:frame="1"/>
              </w:rPr>
              <w:t>Year</w:t>
            </w:r>
          </w:p>
        </w:tc>
        <w:tc>
          <w:tcPr>
            <w:tcW w:w="5680" w:type="dxa"/>
            <w:gridSpan w:val="4"/>
            <w:tcBorders>
              <w:top w:val="single" w:sz="8" w:space="0" w:color="auto"/>
              <w:left w:val="nil"/>
              <w:bottom w:val="single" w:sz="8" w:space="0" w:color="auto"/>
              <w:right w:val="single" w:sz="8" w:space="0" w:color="auto"/>
            </w:tcBorders>
            <w:shd w:val="clear" w:color="auto" w:fill="FCE4D6"/>
            <w:noWrap/>
            <w:tcMar>
              <w:top w:w="0" w:type="dxa"/>
              <w:left w:w="70" w:type="dxa"/>
              <w:bottom w:w="0" w:type="dxa"/>
              <w:right w:w="70" w:type="dxa"/>
            </w:tcMar>
            <w:vAlign w:val="bottom"/>
            <w:hideMark/>
          </w:tcPr>
          <w:p w14:paraId="74728BB5" w14:textId="0CE79ABC" w:rsidR="00DE049B" w:rsidRPr="005D486C" w:rsidRDefault="005D486C" w:rsidP="005D486C">
            <w:pPr>
              <w:spacing w:line="276" w:lineRule="auto"/>
              <w:jc w:val="center"/>
              <w:rPr>
                <w:rFonts w:ascii="Calibri" w:hAnsi="Calibri"/>
                <w:sz w:val="22"/>
                <w:szCs w:val="22"/>
                <w:bdr w:val="none" w:sz="0" w:space="0" w:color="auto" w:frame="1"/>
              </w:rPr>
            </w:pPr>
            <w:r>
              <w:rPr>
                <w:rFonts w:ascii="Calibri" w:hAnsi="Calibri"/>
                <w:sz w:val="22"/>
                <w:szCs w:val="22"/>
                <w:bdr w:val="none" w:sz="0" w:space="0" w:color="auto" w:frame="1"/>
              </w:rPr>
              <w:t>Full-time equivalents (Source: DBH)</w:t>
            </w:r>
          </w:p>
        </w:tc>
      </w:tr>
      <w:tr w:rsidR="00DE049B" w14:paraId="38BE7A0A" w14:textId="77777777" w:rsidTr="000A055B">
        <w:trPr>
          <w:trHeight w:val="626"/>
        </w:trPr>
        <w:tc>
          <w:tcPr>
            <w:tcW w:w="3534" w:type="dxa"/>
            <w:vMerge/>
            <w:tcBorders>
              <w:top w:val="single" w:sz="8" w:space="0" w:color="auto"/>
              <w:left w:val="single" w:sz="8" w:space="0" w:color="auto"/>
              <w:bottom w:val="single" w:sz="8" w:space="0" w:color="000000"/>
              <w:right w:val="single" w:sz="8" w:space="0" w:color="auto"/>
            </w:tcBorders>
            <w:vAlign w:val="center"/>
            <w:hideMark/>
          </w:tcPr>
          <w:p w14:paraId="1EAE089E" w14:textId="77777777" w:rsidR="00DE049B" w:rsidRPr="005D486C" w:rsidRDefault="00DE049B">
            <w:pPr>
              <w:rPr>
                <w:rFonts w:ascii="Calibri" w:eastAsiaTheme="minorHAnsi" w:hAnsi="Calibri"/>
                <w:sz w:val="22"/>
                <w:szCs w:val="22"/>
                <w:bdr w:val="none" w:sz="0" w:space="0" w:color="auto" w:frame="1"/>
                <w:lang w:eastAsia="nb-NO"/>
              </w:rPr>
            </w:pPr>
          </w:p>
        </w:tc>
        <w:tc>
          <w:tcPr>
            <w:tcW w:w="992" w:type="dxa"/>
            <w:vMerge/>
            <w:tcBorders>
              <w:top w:val="single" w:sz="8" w:space="0" w:color="auto"/>
              <w:left w:val="nil"/>
              <w:bottom w:val="single" w:sz="8" w:space="0" w:color="000000"/>
              <w:right w:val="single" w:sz="8" w:space="0" w:color="auto"/>
            </w:tcBorders>
            <w:vAlign w:val="center"/>
            <w:hideMark/>
          </w:tcPr>
          <w:p w14:paraId="158D61FA" w14:textId="77777777" w:rsidR="00DE049B" w:rsidRPr="005D486C" w:rsidRDefault="00DE049B">
            <w:pPr>
              <w:rPr>
                <w:rFonts w:ascii="Calibri" w:eastAsiaTheme="minorHAnsi" w:hAnsi="Calibri"/>
                <w:sz w:val="22"/>
                <w:szCs w:val="22"/>
                <w:bdr w:val="none" w:sz="0" w:space="0" w:color="auto" w:frame="1"/>
                <w:lang w:eastAsia="nb-NO"/>
              </w:rPr>
            </w:pPr>
          </w:p>
        </w:tc>
        <w:tc>
          <w:tcPr>
            <w:tcW w:w="1701" w:type="dxa"/>
            <w:tcBorders>
              <w:top w:val="nil"/>
              <w:left w:val="nil"/>
              <w:bottom w:val="single" w:sz="8" w:space="0" w:color="auto"/>
              <w:right w:val="single" w:sz="8" w:space="0" w:color="auto"/>
            </w:tcBorders>
            <w:shd w:val="clear" w:color="auto" w:fill="FCE4D6"/>
            <w:noWrap/>
            <w:tcMar>
              <w:top w:w="0" w:type="dxa"/>
              <w:left w:w="70" w:type="dxa"/>
              <w:bottom w:w="0" w:type="dxa"/>
              <w:right w:w="70" w:type="dxa"/>
            </w:tcMar>
            <w:vAlign w:val="bottom"/>
            <w:hideMark/>
          </w:tcPr>
          <w:p w14:paraId="6BF47FB8" w14:textId="77777777" w:rsidR="00DE049B" w:rsidRPr="005D486C" w:rsidRDefault="00DE049B">
            <w:pPr>
              <w:spacing w:line="276" w:lineRule="auto"/>
              <w:jc w:val="center"/>
              <w:rPr>
                <w:rFonts w:ascii="Calibri" w:hAnsi="Calibri"/>
                <w:sz w:val="22"/>
                <w:szCs w:val="22"/>
                <w:bdr w:val="none" w:sz="0" w:space="0" w:color="auto" w:frame="1"/>
              </w:rPr>
            </w:pPr>
            <w:r>
              <w:rPr>
                <w:rFonts w:ascii="Calibri" w:hAnsi="Calibri"/>
                <w:sz w:val="22"/>
                <w:szCs w:val="22"/>
                <w:bdr w:val="none" w:sz="0" w:space="0" w:color="auto" w:frame="1"/>
              </w:rPr>
              <w:t>no of women</w:t>
            </w:r>
          </w:p>
        </w:tc>
        <w:tc>
          <w:tcPr>
            <w:tcW w:w="1418" w:type="dxa"/>
            <w:tcBorders>
              <w:top w:val="nil"/>
              <w:left w:val="nil"/>
              <w:bottom w:val="single" w:sz="8" w:space="0" w:color="auto"/>
              <w:right w:val="single" w:sz="8" w:space="0" w:color="auto"/>
            </w:tcBorders>
            <w:shd w:val="clear" w:color="auto" w:fill="FCE4D6"/>
            <w:noWrap/>
            <w:tcMar>
              <w:top w:w="0" w:type="dxa"/>
              <w:left w:w="70" w:type="dxa"/>
              <w:bottom w:w="0" w:type="dxa"/>
              <w:right w:w="70" w:type="dxa"/>
            </w:tcMar>
            <w:vAlign w:val="bottom"/>
            <w:hideMark/>
          </w:tcPr>
          <w:p w14:paraId="1DD4B620" w14:textId="77777777" w:rsidR="00DE049B" w:rsidRPr="005D486C" w:rsidRDefault="00DE049B">
            <w:pPr>
              <w:spacing w:line="276" w:lineRule="auto"/>
              <w:jc w:val="center"/>
              <w:rPr>
                <w:rFonts w:ascii="Calibri" w:hAnsi="Calibri"/>
                <w:sz w:val="22"/>
                <w:szCs w:val="22"/>
                <w:bdr w:val="none" w:sz="0" w:space="0" w:color="auto" w:frame="1"/>
              </w:rPr>
            </w:pPr>
            <w:r>
              <w:rPr>
                <w:rFonts w:ascii="Calibri" w:hAnsi="Calibri"/>
                <w:sz w:val="22"/>
                <w:szCs w:val="22"/>
                <w:bdr w:val="none" w:sz="0" w:space="0" w:color="auto" w:frame="1"/>
              </w:rPr>
              <w:t>no of men</w:t>
            </w:r>
          </w:p>
        </w:tc>
        <w:tc>
          <w:tcPr>
            <w:tcW w:w="1417" w:type="dxa"/>
            <w:tcBorders>
              <w:top w:val="nil"/>
              <w:left w:val="nil"/>
              <w:bottom w:val="single" w:sz="8" w:space="0" w:color="auto"/>
              <w:right w:val="single" w:sz="8" w:space="0" w:color="auto"/>
            </w:tcBorders>
            <w:shd w:val="clear" w:color="auto" w:fill="FCE4D6"/>
            <w:noWrap/>
            <w:tcMar>
              <w:top w:w="0" w:type="dxa"/>
              <w:left w:w="70" w:type="dxa"/>
              <w:bottom w:w="0" w:type="dxa"/>
              <w:right w:w="70" w:type="dxa"/>
            </w:tcMar>
            <w:vAlign w:val="bottom"/>
            <w:hideMark/>
          </w:tcPr>
          <w:p w14:paraId="045B9BE8" w14:textId="77777777" w:rsidR="00DE049B" w:rsidRPr="005D486C" w:rsidRDefault="00DE049B">
            <w:pPr>
              <w:spacing w:line="276" w:lineRule="auto"/>
              <w:jc w:val="center"/>
              <w:rPr>
                <w:rFonts w:ascii="Calibri" w:hAnsi="Calibri"/>
                <w:sz w:val="22"/>
                <w:szCs w:val="22"/>
                <w:bdr w:val="none" w:sz="0" w:space="0" w:color="auto" w:frame="1"/>
              </w:rPr>
            </w:pPr>
            <w:r>
              <w:rPr>
                <w:rFonts w:ascii="Calibri" w:hAnsi="Calibri"/>
                <w:sz w:val="22"/>
                <w:szCs w:val="22"/>
                <w:bdr w:val="none" w:sz="0" w:space="0" w:color="auto" w:frame="1"/>
              </w:rPr>
              <w:t>% women</w:t>
            </w:r>
          </w:p>
        </w:tc>
        <w:tc>
          <w:tcPr>
            <w:tcW w:w="1144" w:type="dxa"/>
            <w:tcBorders>
              <w:top w:val="nil"/>
              <w:left w:val="nil"/>
              <w:bottom w:val="single" w:sz="8" w:space="0" w:color="auto"/>
              <w:right w:val="single" w:sz="8" w:space="0" w:color="auto"/>
            </w:tcBorders>
            <w:shd w:val="clear" w:color="auto" w:fill="FCE4D6"/>
            <w:noWrap/>
            <w:tcMar>
              <w:top w:w="0" w:type="dxa"/>
              <w:left w:w="70" w:type="dxa"/>
              <w:bottom w:w="0" w:type="dxa"/>
              <w:right w:w="70" w:type="dxa"/>
            </w:tcMar>
            <w:vAlign w:val="bottom"/>
            <w:hideMark/>
          </w:tcPr>
          <w:p w14:paraId="4978C230" w14:textId="77777777" w:rsidR="00DE049B" w:rsidRPr="005D486C" w:rsidRDefault="00DE049B">
            <w:pPr>
              <w:spacing w:line="276" w:lineRule="auto"/>
              <w:jc w:val="center"/>
              <w:rPr>
                <w:rFonts w:ascii="Calibri" w:hAnsi="Calibri"/>
                <w:sz w:val="22"/>
                <w:szCs w:val="22"/>
                <w:bdr w:val="none" w:sz="0" w:space="0" w:color="auto" w:frame="1"/>
              </w:rPr>
            </w:pPr>
            <w:r>
              <w:rPr>
                <w:rFonts w:ascii="Calibri" w:hAnsi="Calibri"/>
                <w:sz w:val="22"/>
                <w:szCs w:val="22"/>
                <w:bdr w:val="none" w:sz="0" w:space="0" w:color="auto" w:frame="1"/>
              </w:rPr>
              <w:t>% men</w:t>
            </w:r>
          </w:p>
        </w:tc>
      </w:tr>
      <w:tr w:rsidR="00DE049B" w14:paraId="5AA38A22" w14:textId="77777777" w:rsidTr="000A055B">
        <w:trPr>
          <w:trHeight w:val="300"/>
        </w:trPr>
        <w:tc>
          <w:tcPr>
            <w:tcW w:w="3534" w:type="dxa"/>
            <w:vMerge w:val="restart"/>
            <w:tcBorders>
              <w:top w:val="nil"/>
              <w:left w:val="single" w:sz="8" w:space="0" w:color="auto"/>
              <w:bottom w:val="single" w:sz="8" w:space="0" w:color="000000"/>
              <w:right w:val="single" w:sz="8" w:space="0" w:color="auto"/>
            </w:tcBorders>
            <w:shd w:val="clear" w:color="auto" w:fill="FFF2CC"/>
            <w:noWrap/>
            <w:tcMar>
              <w:top w:w="0" w:type="dxa"/>
              <w:left w:w="70" w:type="dxa"/>
              <w:bottom w:w="0" w:type="dxa"/>
              <w:right w:w="70" w:type="dxa"/>
            </w:tcMar>
            <w:vAlign w:val="center"/>
            <w:hideMark/>
          </w:tcPr>
          <w:p w14:paraId="7E5C99DC" w14:textId="2B4CAE20" w:rsidR="00DE049B" w:rsidRPr="005D486C" w:rsidRDefault="00DE049B">
            <w:pPr>
              <w:spacing w:line="276" w:lineRule="auto"/>
              <w:jc w:val="center"/>
              <w:rPr>
                <w:rFonts w:ascii="Calibri" w:hAnsi="Calibri"/>
                <w:sz w:val="22"/>
                <w:szCs w:val="22"/>
                <w:bdr w:val="none" w:sz="0" w:space="0" w:color="auto" w:frame="1"/>
              </w:rPr>
            </w:pPr>
            <w:r>
              <w:rPr>
                <w:rFonts w:ascii="Calibri" w:hAnsi="Calibri"/>
                <w:sz w:val="22"/>
                <w:szCs w:val="22"/>
                <w:bdr w:val="none" w:sz="0" w:space="0" w:color="auto" w:frame="1"/>
              </w:rPr>
              <w:t xml:space="preserve">Professor, </w:t>
            </w:r>
            <w:proofErr w:type="spellStart"/>
            <w:r>
              <w:rPr>
                <w:rFonts w:ascii="Calibri" w:hAnsi="Calibri"/>
                <w:i/>
                <w:sz w:val="22"/>
                <w:szCs w:val="22"/>
                <w:bdr w:val="none" w:sz="0" w:space="0" w:color="auto" w:frame="1"/>
              </w:rPr>
              <w:t>dosent</w:t>
            </w:r>
            <w:proofErr w:type="spellEnd"/>
            <w:r>
              <w:rPr>
                <w:rFonts w:ascii="Calibri" w:hAnsi="Calibri"/>
                <w:sz w:val="22"/>
                <w:szCs w:val="22"/>
                <w:bdr w:val="none" w:sz="0" w:space="0" w:color="auto" w:frame="1"/>
              </w:rPr>
              <w:t xml:space="preserve"> professor </w:t>
            </w:r>
            <w:r w:rsidR="000A055B">
              <w:rPr>
                <w:rFonts w:ascii="Calibri" w:hAnsi="Calibri"/>
                <w:sz w:val="22"/>
                <w:szCs w:val="22"/>
                <w:bdr w:val="none" w:sz="0" w:space="0" w:color="auto" w:frame="1"/>
              </w:rPr>
              <w:br/>
            </w:r>
            <w:r>
              <w:rPr>
                <w:rFonts w:ascii="Calibri" w:hAnsi="Calibri"/>
                <w:sz w:val="22"/>
                <w:szCs w:val="22"/>
                <w:bdr w:val="none" w:sz="0" w:space="0" w:color="auto" w:frame="1"/>
              </w:rPr>
              <w:t>and senior researcher</w:t>
            </w:r>
          </w:p>
        </w:tc>
        <w:tc>
          <w:tcPr>
            <w:tcW w:w="992"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41879105" w14:textId="18BEA083"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2016</w:t>
            </w:r>
            <w:r w:rsidRPr="005D486C">
              <w:rPr>
                <w:rStyle w:val="Fotnotereferanse"/>
                <w:rFonts w:ascii="Calibri" w:hAnsi="Calibri"/>
                <w:sz w:val="22"/>
                <w:szCs w:val="22"/>
                <w:bdr w:val="none" w:sz="0" w:space="0" w:color="auto" w:frame="1"/>
                <w:lang w:eastAsia="nb-NO"/>
              </w:rPr>
              <w:footnoteReference w:id="5"/>
            </w:r>
          </w:p>
        </w:tc>
        <w:tc>
          <w:tcPr>
            <w:tcW w:w="1701"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08D34FA7"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75.25</w:t>
            </w:r>
          </w:p>
        </w:tc>
        <w:tc>
          <w:tcPr>
            <w:tcW w:w="1418"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2DA35D2F"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83.51</w:t>
            </w:r>
          </w:p>
        </w:tc>
        <w:tc>
          <w:tcPr>
            <w:tcW w:w="1417"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6F3AB1A8"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47.40%</w:t>
            </w:r>
          </w:p>
        </w:tc>
        <w:tc>
          <w:tcPr>
            <w:tcW w:w="1144"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39BE7537"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52.60%</w:t>
            </w:r>
          </w:p>
        </w:tc>
      </w:tr>
      <w:tr w:rsidR="00DE049B" w14:paraId="58841FB4" w14:textId="77777777" w:rsidTr="000A055B">
        <w:trPr>
          <w:trHeight w:val="300"/>
        </w:trPr>
        <w:tc>
          <w:tcPr>
            <w:tcW w:w="3534" w:type="dxa"/>
            <w:vMerge/>
            <w:tcBorders>
              <w:top w:val="nil"/>
              <w:left w:val="single" w:sz="8" w:space="0" w:color="auto"/>
              <w:bottom w:val="single" w:sz="8" w:space="0" w:color="000000"/>
              <w:right w:val="single" w:sz="8" w:space="0" w:color="auto"/>
            </w:tcBorders>
            <w:vAlign w:val="center"/>
            <w:hideMark/>
          </w:tcPr>
          <w:p w14:paraId="4EF71B4F" w14:textId="77777777" w:rsidR="00DE049B" w:rsidRPr="005D486C" w:rsidRDefault="00DE049B">
            <w:pPr>
              <w:rPr>
                <w:rFonts w:ascii="Calibri" w:eastAsiaTheme="minorHAnsi" w:hAnsi="Calibri"/>
                <w:sz w:val="22"/>
                <w:szCs w:val="22"/>
                <w:bdr w:val="none" w:sz="0" w:space="0" w:color="auto" w:frame="1"/>
                <w:lang w:eastAsia="nb-NO"/>
              </w:rPr>
            </w:pPr>
          </w:p>
        </w:tc>
        <w:tc>
          <w:tcPr>
            <w:tcW w:w="992"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78DF812F"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2015</w:t>
            </w:r>
          </w:p>
        </w:tc>
        <w:tc>
          <w:tcPr>
            <w:tcW w:w="1701"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316BDFF6"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68.25</w:t>
            </w:r>
          </w:p>
        </w:tc>
        <w:tc>
          <w:tcPr>
            <w:tcW w:w="1418"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127BABD3"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71.37</w:t>
            </w:r>
          </w:p>
        </w:tc>
        <w:tc>
          <w:tcPr>
            <w:tcW w:w="1417"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2D7B6DC2"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48.88%</w:t>
            </w:r>
          </w:p>
        </w:tc>
        <w:tc>
          <w:tcPr>
            <w:tcW w:w="1144"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732E767A"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51.12%</w:t>
            </w:r>
          </w:p>
        </w:tc>
      </w:tr>
      <w:tr w:rsidR="00DE049B" w14:paraId="6F183865" w14:textId="77777777" w:rsidTr="000A055B">
        <w:trPr>
          <w:trHeight w:val="300"/>
        </w:trPr>
        <w:tc>
          <w:tcPr>
            <w:tcW w:w="3534" w:type="dxa"/>
            <w:vMerge/>
            <w:tcBorders>
              <w:top w:val="nil"/>
              <w:left w:val="single" w:sz="8" w:space="0" w:color="auto"/>
              <w:bottom w:val="single" w:sz="8" w:space="0" w:color="000000"/>
              <w:right w:val="single" w:sz="8" w:space="0" w:color="auto"/>
            </w:tcBorders>
            <w:vAlign w:val="center"/>
            <w:hideMark/>
          </w:tcPr>
          <w:p w14:paraId="5FC1201E" w14:textId="77777777" w:rsidR="00DE049B" w:rsidRPr="005D486C" w:rsidRDefault="00DE049B">
            <w:pPr>
              <w:rPr>
                <w:rFonts w:ascii="Calibri" w:eastAsiaTheme="minorHAnsi" w:hAnsi="Calibri"/>
                <w:sz w:val="22"/>
                <w:szCs w:val="22"/>
                <w:bdr w:val="none" w:sz="0" w:space="0" w:color="auto" w:frame="1"/>
                <w:lang w:eastAsia="nb-NO"/>
              </w:rPr>
            </w:pPr>
          </w:p>
        </w:tc>
        <w:tc>
          <w:tcPr>
            <w:tcW w:w="992"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0EFA160A"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2014</w:t>
            </w:r>
          </w:p>
        </w:tc>
        <w:tc>
          <w:tcPr>
            <w:tcW w:w="1701"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2B2C29C4"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56.30</w:t>
            </w:r>
          </w:p>
        </w:tc>
        <w:tc>
          <w:tcPr>
            <w:tcW w:w="1418"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584B1D84"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69.32</w:t>
            </w:r>
          </w:p>
        </w:tc>
        <w:tc>
          <w:tcPr>
            <w:tcW w:w="1417"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54B83E93"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44.82%</w:t>
            </w:r>
          </w:p>
        </w:tc>
        <w:tc>
          <w:tcPr>
            <w:tcW w:w="1144"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3B455D47"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55.18%</w:t>
            </w:r>
          </w:p>
        </w:tc>
      </w:tr>
      <w:tr w:rsidR="00DE049B" w14:paraId="6A2CF41D" w14:textId="77777777" w:rsidTr="000A055B">
        <w:trPr>
          <w:trHeight w:val="300"/>
        </w:trPr>
        <w:tc>
          <w:tcPr>
            <w:tcW w:w="3534" w:type="dxa"/>
            <w:vMerge/>
            <w:tcBorders>
              <w:top w:val="nil"/>
              <w:left w:val="single" w:sz="8" w:space="0" w:color="auto"/>
              <w:bottom w:val="single" w:sz="8" w:space="0" w:color="000000"/>
              <w:right w:val="single" w:sz="8" w:space="0" w:color="auto"/>
            </w:tcBorders>
            <w:vAlign w:val="center"/>
            <w:hideMark/>
          </w:tcPr>
          <w:p w14:paraId="0F385F19" w14:textId="77777777" w:rsidR="00DE049B" w:rsidRPr="005D486C" w:rsidRDefault="00DE049B">
            <w:pPr>
              <w:rPr>
                <w:rFonts w:ascii="Calibri" w:eastAsiaTheme="minorHAnsi" w:hAnsi="Calibri"/>
                <w:sz w:val="22"/>
                <w:szCs w:val="22"/>
                <w:bdr w:val="none" w:sz="0" w:space="0" w:color="auto" w:frame="1"/>
                <w:lang w:eastAsia="nb-NO"/>
              </w:rPr>
            </w:pPr>
          </w:p>
        </w:tc>
        <w:tc>
          <w:tcPr>
            <w:tcW w:w="992"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00A504D9"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2013</w:t>
            </w:r>
          </w:p>
        </w:tc>
        <w:tc>
          <w:tcPr>
            <w:tcW w:w="1701"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55B7A63D"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38.90</w:t>
            </w:r>
          </w:p>
        </w:tc>
        <w:tc>
          <w:tcPr>
            <w:tcW w:w="1418"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01714EDA"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57.67</w:t>
            </w:r>
          </w:p>
        </w:tc>
        <w:tc>
          <w:tcPr>
            <w:tcW w:w="1417"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72EAB438"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40.28%</w:t>
            </w:r>
          </w:p>
        </w:tc>
        <w:tc>
          <w:tcPr>
            <w:tcW w:w="1144"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3110BCEF"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59.72%</w:t>
            </w:r>
          </w:p>
        </w:tc>
      </w:tr>
      <w:tr w:rsidR="00DE049B" w14:paraId="06A9E7F8" w14:textId="77777777" w:rsidTr="000A055B">
        <w:trPr>
          <w:trHeight w:val="300"/>
        </w:trPr>
        <w:tc>
          <w:tcPr>
            <w:tcW w:w="3534" w:type="dxa"/>
            <w:vMerge/>
            <w:tcBorders>
              <w:top w:val="nil"/>
              <w:left w:val="single" w:sz="8" w:space="0" w:color="auto"/>
              <w:bottom w:val="single" w:sz="8" w:space="0" w:color="000000"/>
              <w:right w:val="single" w:sz="8" w:space="0" w:color="auto"/>
            </w:tcBorders>
            <w:vAlign w:val="center"/>
            <w:hideMark/>
          </w:tcPr>
          <w:p w14:paraId="599DEDD3" w14:textId="77777777" w:rsidR="00DE049B" w:rsidRPr="005D486C" w:rsidRDefault="00DE049B">
            <w:pPr>
              <w:rPr>
                <w:rFonts w:ascii="Calibri" w:eastAsiaTheme="minorHAnsi" w:hAnsi="Calibri"/>
                <w:sz w:val="22"/>
                <w:szCs w:val="22"/>
                <w:bdr w:val="none" w:sz="0" w:space="0" w:color="auto" w:frame="1"/>
                <w:lang w:eastAsia="nb-NO"/>
              </w:rPr>
            </w:pPr>
          </w:p>
        </w:tc>
        <w:tc>
          <w:tcPr>
            <w:tcW w:w="992"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1AB9AA12"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2012</w:t>
            </w:r>
          </w:p>
        </w:tc>
        <w:tc>
          <w:tcPr>
            <w:tcW w:w="1701"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5FBE3606"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37.60</w:t>
            </w:r>
          </w:p>
        </w:tc>
        <w:tc>
          <w:tcPr>
            <w:tcW w:w="1418"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1F2B7AF1"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58.80</w:t>
            </w:r>
          </w:p>
        </w:tc>
        <w:tc>
          <w:tcPr>
            <w:tcW w:w="1417"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62184591"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39.00%</w:t>
            </w:r>
          </w:p>
        </w:tc>
        <w:tc>
          <w:tcPr>
            <w:tcW w:w="1144" w:type="dxa"/>
            <w:tcBorders>
              <w:top w:val="nil"/>
              <w:left w:val="nil"/>
              <w:bottom w:val="single" w:sz="8" w:space="0" w:color="auto"/>
              <w:right w:val="single" w:sz="8" w:space="0" w:color="auto"/>
            </w:tcBorders>
            <w:shd w:val="clear" w:color="auto" w:fill="FFF2CC"/>
            <w:noWrap/>
            <w:tcMar>
              <w:top w:w="0" w:type="dxa"/>
              <w:left w:w="70" w:type="dxa"/>
              <w:bottom w:w="0" w:type="dxa"/>
              <w:right w:w="70" w:type="dxa"/>
            </w:tcMar>
            <w:vAlign w:val="bottom"/>
            <w:hideMark/>
          </w:tcPr>
          <w:p w14:paraId="5831B998" w14:textId="77777777" w:rsidR="00DE049B" w:rsidRPr="005D486C" w:rsidRDefault="00DE049B">
            <w:pPr>
              <w:spacing w:line="276" w:lineRule="auto"/>
              <w:jc w:val="right"/>
              <w:rPr>
                <w:rFonts w:ascii="Calibri" w:hAnsi="Calibri"/>
                <w:sz w:val="22"/>
                <w:szCs w:val="22"/>
                <w:bdr w:val="none" w:sz="0" w:space="0" w:color="auto" w:frame="1"/>
              </w:rPr>
            </w:pPr>
            <w:r>
              <w:rPr>
                <w:rFonts w:ascii="Calibri" w:hAnsi="Calibri"/>
                <w:sz w:val="22"/>
                <w:szCs w:val="22"/>
                <w:bdr w:val="none" w:sz="0" w:space="0" w:color="auto" w:frame="1"/>
              </w:rPr>
              <w:t>61.00%</w:t>
            </w:r>
          </w:p>
        </w:tc>
      </w:tr>
    </w:tbl>
    <w:p w14:paraId="00A61926" w14:textId="77777777" w:rsidR="005942E0" w:rsidRDefault="005942E0" w:rsidP="000A69A6">
      <w:pPr>
        <w:spacing w:line="276" w:lineRule="auto"/>
        <w:rPr>
          <w:rFonts w:ascii="Calibri" w:hAnsi="Calibri"/>
        </w:rPr>
      </w:pPr>
    </w:p>
    <w:p w14:paraId="5F5E9BA5" w14:textId="5C77E528" w:rsidR="005942E0" w:rsidRPr="0098031C" w:rsidRDefault="00CB25B0" w:rsidP="000A69A6">
      <w:pPr>
        <w:spacing w:line="276" w:lineRule="auto"/>
        <w:rPr>
          <w:rFonts w:ascii="Calibri" w:hAnsi="Calibri"/>
          <w:sz w:val="22"/>
          <w:szCs w:val="22"/>
        </w:rPr>
      </w:pPr>
      <w:r>
        <w:rPr>
          <w:rFonts w:ascii="Calibri" w:hAnsi="Calibri"/>
          <w:sz w:val="22"/>
          <w:szCs w:val="22"/>
        </w:rPr>
        <w:t xml:space="preserve">The gender ratios broken down by faculty/joint administration (FA) and centre level show an unequal distribution of top positions at the Centre for the Study of Professions (SPS)/FA and at the Faculty of Technology, Art and Design (TKD). The Centre for Welfare and Labour Research (SVA) and the Faculty of Health Science (HF) has a slight predominance of women in top positions, while the Faculty of Social Sciences (SAM) and the Faculty of Education and International Studies (LUI) has a slight predominance of men in top academic positions. </w:t>
      </w:r>
    </w:p>
    <w:p w14:paraId="62DBFD26" w14:textId="77777777" w:rsidR="0044235C" w:rsidRPr="000E1920" w:rsidRDefault="0044235C" w:rsidP="005942E0">
      <w:pPr>
        <w:pStyle w:val="Ingenmellomrom"/>
      </w:pPr>
    </w:p>
    <w:tbl>
      <w:tblPr>
        <w:tblW w:w="7760" w:type="dxa"/>
        <w:tblCellMar>
          <w:left w:w="70" w:type="dxa"/>
          <w:right w:w="70" w:type="dxa"/>
        </w:tblCellMar>
        <w:tblLook w:val="04A0" w:firstRow="1" w:lastRow="0" w:firstColumn="1" w:lastColumn="0" w:noHBand="0" w:noVBand="1"/>
      </w:tblPr>
      <w:tblGrid>
        <w:gridCol w:w="2640"/>
        <w:gridCol w:w="1518"/>
        <w:gridCol w:w="1309"/>
        <w:gridCol w:w="1251"/>
        <w:gridCol w:w="1042"/>
      </w:tblGrid>
      <w:tr w:rsidR="0044235C" w:rsidRPr="008810FD" w14:paraId="50A91E68" w14:textId="77777777" w:rsidTr="00753945">
        <w:trPr>
          <w:trHeight w:val="300"/>
        </w:trPr>
        <w:tc>
          <w:tcPr>
            <w:tcW w:w="2640" w:type="dxa"/>
            <w:vMerge w:val="restart"/>
            <w:tcBorders>
              <w:top w:val="single" w:sz="8" w:space="0" w:color="auto"/>
              <w:left w:val="single" w:sz="8" w:space="0" w:color="auto"/>
              <w:bottom w:val="single" w:sz="8" w:space="0" w:color="000000"/>
              <w:right w:val="single" w:sz="8" w:space="0" w:color="auto"/>
            </w:tcBorders>
            <w:shd w:val="clear" w:color="000000" w:fill="FCE4D6"/>
            <w:noWrap/>
            <w:vAlign w:val="center"/>
            <w:hideMark/>
          </w:tcPr>
          <w:p w14:paraId="108EA2AA"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Pr>
                <w:rFonts w:ascii="Calibri" w:hAnsi="Calibri"/>
                <w:sz w:val="22"/>
                <w:szCs w:val="22"/>
                <w:bdr w:val="none" w:sz="0" w:space="0" w:color="auto"/>
              </w:rPr>
              <w:t xml:space="preserve">Professor, </w:t>
            </w:r>
            <w:proofErr w:type="spellStart"/>
            <w:r>
              <w:rPr>
                <w:rFonts w:ascii="Calibri" w:hAnsi="Calibri"/>
                <w:i/>
                <w:sz w:val="22"/>
                <w:szCs w:val="22"/>
                <w:bdr w:val="none" w:sz="0" w:space="0" w:color="auto"/>
              </w:rPr>
              <w:t>dosent</w:t>
            </w:r>
            <w:proofErr w:type="spellEnd"/>
            <w:r>
              <w:rPr>
                <w:rFonts w:ascii="Calibri" w:hAnsi="Calibri"/>
                <w:sz w:val="22"/>
                <w:szCs w:val="22"/>
                <w:bdr w:val="none" w:sz="0" w:space="0" w:color="auto"/>
              </w:rPr>
              <w:t xml:space="preserve"> professor and senior researcher, 2016</w:t>
            </w:r>
          </w:p>
        </w:tc>
        <w:tc>
          <w:tcPr>
            <w:tcW w:w="5120" w:type="dxa"/>
            <w:gridSpan w:val="4"/>
            <w:tcBorders>
              <w:top w:val="single" w:sz="8" w:space="0" w:color="auto"/>
              <w:left w:val="nil"/>
              <w:bottom w:val="single" w:sz="4" w:space="0" w:color="auto"/>
              <w:right w:val="single" w:sz="4" w:space="0" w:color="auto"/>
            </w:tcBorders>
            <w:shd w:val="clear" w:color="000000" w:fill="FCE4D6"/>
            <w:noWrap/>
            <w:vAlign w:val="bottom"/>
            <w:hideMark/>
          </w:tcPr>
          <w:p w14:paraId="4B03177E" w14:textId="46717B3A"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sz w:val="22"/>
                <w:szCs w:val="22"/>
                <w:bdr w:val="none" w:sz="0" w:space="0" w:color="auto"/>
              </w:rPr>
            </w:pPr>
            <w:r>
              <w:rPr>
                <w:rFonts w:ascii="Calibri" w:hAnsi="Calibri"/>
                <w:sz w:val="22"/>
                <w:szCs w:val="22"/>
                <w:bdr w:val="none" w:sz="0" w:space="0" w:color="auto"/>
              </w:rPr>
              <w:t>Full-time equivalents (Source: DBH)</w:t>
            </w:r>
          </w:p>
        </w:tc>
      </w:tr>
      <w:tr w:rsidR="0044235C" w:rsidRPr="008810FD" w14:paraId="0925DA14" w14:textId="77777777" w:rsidTr="00753945">
        <w:trPr>
          <w:trHeight w:val="315"/>
        </w:trPr>
        <w:tc>
          <w:tcPr>
            <w:tcW w:w="2640" w:type="dxa"/>
            <w:vMerge/>
            <w:tcBorders>
              <w:top w:val="single" w:sz="8" w:space="0" w:color="auto"/>
              <w:left w:val="single" w:sz="8" w:space="0" w:color="auto"/>
              <w:bottom w:val="single" w:sz="8" w:space="0" w:color="000000"/>
              <w:right w:val="single" w:sz="4" w:space="0" w:color="auto"/>
            </w:tcBorders>
            <w:vAlign w:val="center"/>
            <w:hideMark/>
          </w:tcPr>
          <w:p w14:paraId="03004943"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lang w:eastAsia="nb-NO"/>
              </w:rPr>
            </w:pPr>
          </w:p>
        </w:tc>
        <w:tc>
          <w:tcPr>
            <w:tcW w:w="1518"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3D073BC6"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Pr>
                <w:rFonts w:ascii="Calibri" w:hAnsi="Calibri"/>
                <w:sz w:val="22"/>
                <w:szCs w:val="22"/>
                <w:bdr w:val="none" w:sz="0" w:space="0" w:color="auto"/>
              </w:rPr>
              <w:t>no of women</w:t>
            </w:r>
          </w:p>
        </w:tc>
        <w:tc>
          <w:tcPr>
            <w:tcW w:w="1309"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98CE9C1"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Pr>
                <w:rFonts w:ascii="Calibri" w:hAnsi="Calibri"/>
                <w:sz w:val="22"/>
                <w:szCs w:val="22"/>
                <w:bdr w:val="none" w:sz="0" w:space="0" w:color="auto"/>
              </w:rPr>
              <w:t>no of men</w:t>
            </w:r>
          </w:p>
        </w:tc>
        <w:tc>
          <w:tcPr>
            <w:tcW w:w="1251"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DF08541"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Pr>
                <w:rFonts w:ascii="Calibri" w:hAnsi="Calibri"/>
                <w:sz w:val="22"/>
                <w:szCs w:val="22"/>
                <w:bdr w:val="none" w:sz="0" w:space="0" w:color="auto"/>
              </w:rPr>
              <w:t>% women</w:t>
            </w:r>
          </w:p>
        </w:tc>
        <w:tc>
          <w:tcPr>
            <w:tcW w:w="1042"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5F34D6EB"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Pr>
                <w:rFonts w:ascii="Calibri" w:hAnsi="Calibri"/>
                <w:sz w:val="22"/>
                <w:szCs w:val="22"/>
                <w:bdr w:val="none" w:sz="0" w:space="0" w:color="auto"/>
              </w:rPr>
              <w:t>% men</w:t>
            </w:r>
          </w:p>
        </w:tc>
      </w:tr>
      <w:tr w:rsidR="0044235C" w:rsidRPr="008810FD" w14:paraId="2EAEFAEB" w14:textId="77777777" w:rsidTr="00753945">
        <w:trPr>
          <w:trHeight w:val="300"/>
        </w:trPr>
        <w:tc>
          <w:tcPr>
            <w:tcW w:w="2640" w:type="dxa"/>
            <w:tcBorders>
              <w:top w:val="nil"/>
              <w:left w:val="single" w:sz="8" w:space="0" w:color="auto"/>
              <w:bottom w:val="nil"/>
              <w:right w:val="single" w:sz="8" w:space="0" w:color="auto"/>
            </w:tcBorders>
            <w:shd w:val="clear" w:color="000000" w:fill="D9E1F2"/>
            <w:noWrap/>
            <w:vAlign w:val="center"/>
            <w:hideMark/>
          </w:tcPr>
          <w:p w14:paraId="0C2BE98A"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proofErr w:type="spellStart"/>
            <w:r>
              <w:rPr>
                <w:rFonts w:ascii="Calibri" w:hAnsi="Calibri"/>
                <w:sz w:val="22"/>
                <w:szCs w:val="22"/>
                <w:bdr w:val="none" w:sz="0" w:space="0" w:color="auto"/>
              </w:rPr>
              <w:t>HiOA</w:t>
            </w:r>
            <w:proofErr w:type="spellEnd"/>
            <w:r>
              <w:rPr>
                <w:rFonts w:ascii="Calibri" w:hAnsi="Calibri"/>
                <w:sz w:val="22"/>
                <w:szCs w:val="22"/>
                <w:bdr w:val="none" w:sz="0" w:space="0" w:color="auto"/>
              </w:rPr>
              <w:t>, total</w:t>
            </w:r>
          </w:p>
        </w:tc>
        <w:tc>
          <w:tcPr>
            <w:tcW w:w="1518" w:type="dxa"/>
            <w:tcBorders>
              <w:top w:val="single" w:sz="4" w:space="0" w:color="auto"/>
              <w:left w:val="single" w:sz="4" w:space="0" w:color="auto"/>
              <w:bottom w:val="single" w:sz="4" w:space="0" w:color="auto"/>
              <w:right w:val="single" w:sz="4" w:space="0" w:color="auto"/>
            </w:tcBorders>
            <w:shd w:val="clear" w:color="000000" w:fill="D9E1F2"/>
            <w:noWrap/>
            <w:vAlign w:val="bottom"/>
            <w:hideMark/>
          </w:tcPr>
          <w:p w14:paraId="0BAB166C"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75.25</w:t>
            </w:r>
          </w:p>
        </w:tc>
        <w:tc>
          <w:tcPr>
            <w:tcW w:w="1309" w:type="dxa"/>
            <w:tcBorders>
              <w:top w:val="single" w:sz="4" w:space="0" w:color="auto"/>
              <w:left w:val="nil"/>
              <w:bottom w:val="single" w:sz="4" w:space="0" w:color="auto"/>
              <w:right w:val="single" w:sz="4" w:space="0" w:color="auto"/>
            </w:tcBorders>
            <w:shd w:val="clear" w:color="000000" w:fill="D9E1F2"/>
            <w:noWrap/>
            <w:vAlign w:val="bottom"/>
          </w:tcPr>
          <w:p w14:paraId="3D87E50E"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83.51</w:t>
            </w:r>
          </w:p>
        </w:tc>
        <w:tc>
          <w:tcPr>
            <w:tcW w:w="1251" w:type="dxa"/>
            <w:tcBorders>
              <w:top w:val="single" w:sz="4" w:space="0" w:color="auto"/>
              <w:left w:val="nil"/>
              <w:bottom w:val="single" w:sz="4" w:space="0" w:color="auto"/>
              <w:right w:val="single" w:sz="4" w:space="0" w:color="auto"/>
            </w:tcBorders>
            <w:shd w:val="clear" w:color="000000" w:fill="D9E1F2"/>
            <w:noWrap/>
            <w:vAlign w:val="bottom"/>
          </w:tcPr>
          <w:p w14:paraId="216B304A"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47.40%</w:t>
            </w:r>
          </w:p>
        </w:tc>
        <w:tc>
          <w:tcPr>
            <w:tcW w:w="1042" w:type="dxa"/>
            <w:tcBorders>
              <w:top w:val="single" w:sz="4" w:space="0" w:color="auto"/>
              <w:left w:val="nil"/>
              <w:bottom w:val="single" w:sz="4" w:space="0" w:color="auto"/>
              <w:right w:val="single" w:sz="4" w:space="0" w:color="auto"/>
            </w:tcBorders>
            <w:shd w:val="clear" w:color="000000" w:fill="D9E1F2"/>
            <w:noWrap/>
            <w:vAlign w:val="bottom"/>
          </w:tcPr>
          <w:p w14:paraId="2828576F"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52.60%</w:t>
            </w:r>
          </w:p>
        </w:tc>
      </w:tr>
      <w:tr w:rsidR="0044235C" w:rsidRPr="008810FD" w14:paraId="2B47DB02" w14:textId="77777777" w:rsidTr="00753945">
        <w:trPr>
          <w:trHeight w:val="300"/>
        </w:trPr>
        <w:tc>
          <w:tcPr>
            <w:tcW w:w="2640" w:type="dxa"/>
            <w:tcBorders>
              <w:top w:val="single" w:sz="4" w:space="0" w:color="auto"/>
              <w:left w:val="single" w:sz="8" w:space="0" w:color="auto"/>
              <w:bottom w:val="single" w:sz="4" w:space="0" w:color="auto"/>
              <w:right w:val="single" w:sz="8" w:space="0" w:color="auto"/>
            </w:tcBorders>
            <w:shd w:val="clear" w:color="000000" w:fill="FFF2CC"/>
            <w:noWrap/>
            <w:vAlign w:val="center"/>
            <w:hideMark/>
          </w:tcPr>
          <w:p w14:paraId="09DCC8B0"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Pr>
                <w:rFonts w:ascii="Calibri" w:hAnsi="Calibri"/>
                <w:sz w:val="22"/>
                <w:szCs w:val="22"/>
                <w:bdr w:val="none" w:sz="0" w:space="0" w:color="auto"/>
              </w:rPr>
              <w:t>FA and SPS</w:t>
            </w:r>
          </w:p>
        </w:tc>
        <w:tc>
          <w:tcPr>
            <w:tcW w:w="1518" w:type="dxa"/>
            <w:tcBorders>
              <w:top w:val="single" w:sz="4" w:space="0" w:color="auto"/>
              <w:left w:val="single" w:sz="4" w:space="0" w:color="auto"/>
              <w:bottom w:val="single" w:sz="4" w:space="0" w:color="auto"/>
              <w:right w:val="single" w:sz="4" w:space="0" w:color="auto"/>
            </w:tcBorders>
            <w:shd w:val="clear" w:color="000000" w:fill="FFF2CC"/>
            <w:noWrap/>
            <w:vAlign w:val="bottom"/>
          </w:tcPr>
          <w:p w14:paraId="760BCE11"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4.00</w:t>
            </w:r>
          </w:p>
        </w:tc>
        <w:tc>
          <w:tcPr>
            <w:tcW w:w="1309" w:type="dxa"/>
            <w:tcBorders>
              <w:top w:val="single" w:sz="4" w:space="0" w:color="auto"/>
              <w:left w:val="nil"/>
              <w:bottom w:val="single" w:sz="4" w:space="0" w:color="auto"/>
              <w:right w:val="single" w:sz="4" w:space="0" w:color="auto"/>
            </w:tcBorders>
            <w:shd w:val="clear" w:color="000000" w:fill="FFF2CC"/>
            <w:noWrap/>
            <w:vAlign w:val="bottom"/>
          </w:tcPr>
          <w:p w14:paraId="3DED62FA"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10.00</w:t>
            </w:r>
          </w:p>
        </w:tc>
        <w:tc>
          <w:tcPr>
            <w:tcW w:w="1251" w:type="dxa"/>
            <w:tcBorders>
              <w:top w:val="nil"/>
              <w:left w:val="single" w:sz="4" w:space="0" w:color="auto"/>
              <w:bottom w:val="single" w:sz="4" w:space="0" w:color="auto"/>
              <w:right w:val="single" w:sz="4" w:space="0" w:color="auto"/>
            </w:tcBorders>
            <w:shd w:val="clear" w:color="000000" w:fill="FFF2CC"/>
            <w:noWrap/>
            <w:vAlign w:val="bottom"/>
          </w:tcPr>
          <w:p w14:paraId="56FAF3F3"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35.00%</w:t>
            </w:r>
          </w:p>
        </w:tc>
        <w:tc>
          <w:tcPr>
            <w:tcW w:w="1042" w:type="dxa"/>
            <w:tcBorders>
              <w:top w:val="nil"/>
              <w:left w:val="nil"/>
              <w:bottom w:val="single" w:sz="4" w:space="0" w:color="auto"/>
              <w:right w:val="single" w:sz="4" w:space="0" w:color="auto"/>
            </w:tcBorders>
            <w:shd w:val="clear" w:color="000000" w:fill="FFF2CC"/>
            <w:noWrap/>
            <w:vAlign w:val="bottom"/>
          </w:tcPr>
          <w:p w14:paraId="746D9707"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65.00%</w:t>
            </w:r>
          </w:p>
        </w:tc>
      </w:tr>
      <w:tr w:rsidR="0044235C" w:rsidRPr="008810FD" w14:paraId="78FD828B" w14:textId="77777777" w:rsidTr="00753945">
        <w:trPr>
          <w:trHeight w:val="300"/>
        </w:trPr>
        <w:tc>
          <w:tcPr>
            <w:tcW w:w="2640" w:type="dxa"/>
            <w:tcBorders>
              <w:top w:val="single" w:sz="4" w:space="0" w:color="auto"/>
              <w:left w:val="single" w:sz="8" w:space="0" w:color="auto"/>
              <w:bottom w:val="nil"/>
              <w:right w:val="single" w:sz="8" w:space="0" w:color="auto"/>
            </w:tcBorders>
            <w:shd w:val="clear" w:color="000000" w:fill="D9E1F2"/>
            <w:noWrap/>
            <w:vAlign w:val="center"/>
            <w:hideMark/>
          </w:tcPr>
          <w:p w14:paraId="7EA9B21E"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Pr>
                <w:rFonts w:ascii="Calibri" w:hAnsi="Calibri"/>
                <w:sz w:val="22"/>
                <w:szCs w:val="22"/>
                <w:bdr w:val="none" w:sz="0" w:space="0" w:color="auto"/>
              </w:rPr>
              <w:t>HF</w:t>
            </w:r>
          </w:p>
        </w:tc>
        <w:tc>
          <w:tcPr>
            <w:tcW w:w="1518" w:type="dxa"/>
            <w:tcBorders>
              <w:top w:val="nil"/>
              <w:left w:val="single" w:sz="4" w:space="0" w:color="auto"/>
              <w:bottom w:val="single" w:sz="4" w:space="0" w:color="auto"/>
              <w:right w:val="single" w:sz="4" w:space="0" w:color="auto"/>
            </w:tcBorders>
            <w:shd w:val="clear" w:color="000000" w:fill="D9E1F2"/>
            <w:noWrap/>
            <w:vAlign w:val="bottom"/>
          </w:tcPr>
          <w:p w14:paraId="4F23134C"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16.40</w:t>
            </w:r>
          </w:p>
        </w:tc>
        <w:tc>
          <w:tcPr>
            <w:tcW w:w="1309" w:type="dxa"/>
            <w:tcBorders>
              <w:top w:val="nil"/>
              <w:left w:val="nil"/>
              <w:bottom w:val="single" w:sz="4" w:space="0" w:color="auto"/>
              <w:right w:val="single" w:sz="4" w:space="0" w:color="auto"/>
            </w:tcBorders>
            <w:shd w:val="clear" w:color="000000" w:fill="D9E1F2"/>
            <w:noWrap/>
            <w:vAlign w:val="bottom"/>
          </w:tcPr>
          <w:p w14:paraId="0FA821C1"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14.05</w:t>
            </w:r>
          </w:p>
        </w:tc>
        <w:tc>
          <w:tcPr>
            <w:tcW w:w="1251" w:type="dxa"/>
            <w:tcBorders>
              <w:top w:val="single" w:sz="4" w:space="0" w:color="auto"/>
              <w:left w:val="nil"/>
              <w:bottom w:val="single" w:sz="4" w:space="0" w:color="auto"/>
              <w:right w:val="single" w:sz="4" w:space="0" w:color="auto"/>
            </w:tcBorders>
            <w:shd w:val="clear" w:color="000000" w:fill="D9E1F2"/>
            <w:noWrap/>
            <w:vAlign w:val="bottom"/>
          </w:tcPr>
          <w:p w14:paraId="4023A61B"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53.86%</w:t>
            </w:r>
          </w:p>
        </w:tc>
        <w:tc>
          <w:tcPr>
            <w:tcW w:w="1042" w:type="dxa"/>
            <w:tcBorders>
              <w:top w:val="single" w:sz="4" w:space="0" w:color="auto"/>
              <w:left w:val="nil"/>
              <w:bottom w:val="single" w:sz="4" w:space="0" w:color="auto"/>
              <w:right w:val="single" w:sz="4" w:space="0" w:color="auto"/>
            </w:tcBorders>
            <w:shd w:val="clear" w:color="000000" w:fill="D9E1F2"/>
            <w:noWrap/>
            <w:vAlign w:val="bottom"/>
          </w:tcPr>
          <w:p w14:paraId="32A82E1B"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46.14%</w:t>
            </w:r>
          </w:p>
        </w:tc>
      </w:tr>
      <w:tr w:rsidR="0044235C" w:rsidRPr="008810FD" w14:paraId="26C57F16" w14:textId="77777777" w:rsidTr="00753945">
        <w:trPr>
          <w:trHeight w:val="300"/>
        </w:trPr>
        <w:tc>
          <w:tcPr>
            <w:tcW w:w="2640" w:type="dxa"/>
            <w:tcBorders>
              <w:top w:val="single" w:sz="4" w:space="0" w:color="auto"/>
              <w:left w:val="single" w:sz="8" w:space="0" w:color="auto"/>
              <w:bottom w:val="nil"/>
              <w:right w:val="single" w:sz="8" w:space="0" w:color="auto"/>
            </w:tcBorders>
            <w:shd w:val="clear" w:color="000000" w:fill="FFF2CC"/>
            <w:noWrap/>
            <w:vAlign w:val="center"/>
            <w:hideMark/>
          </w:tcPr>
          <w:p w14:paraId="30860C4D"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Pr>
                <w:rFonts w:ascii="Calibri" w:hAnsi="Calibri"/>
                <w:sz w:val="22"/>
                <w:szCs w:val="22"/>
                <w:bdr w:val="none" w:sz="0" w:space="0" w:color="auto"/>
              </w:rPr>
              <w:t>LUI</w:t>
            </w:r>
          </w:p>
        </w:tc>
        <w:tc>
          <w:tcPr>
            <w:tcW w:w="1518" w:type="dxa"/>
            <w:tcBorders>
              <w:top w:val="nil"/>
              <w:left w:val="single" w:sz="4" w:space="0" w:color="auto"/>
              <w:bottom w:val="single" w:sz="4" w:space="0" w:color="auto"/>
              <w:right w:val="single" w:sz="4" w:space="0" w:color="auto"/>
            </w:tcBorders>
            <w:shd w:val="clear" w:color="000000" w:fill="FFF2CC"/>
            <w:noWrap/>
            <w:vAlign w:val="bottom"/>
          </w:tcPr>
          <w:p w14:paraId="2192BEEA"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14.85</w:t>
            </w:r>
          </w:p>
        </w:tc>
        <w:tc>
          <w:tcPr>
            <w:tcW w:w="1309" w:type="dxa"/>
            <w:tcBorders>
              <w:top w:val="nil"/>
              <w:left w:val="nil"/>
              <w:bottom w:val="single" w:sz="4" w:space="0" w:color="auto"/>
              <w:right w:val="single" w:sz="4" w:space="0" w:color="auto"/>
            </w:tcBorders>
            <w:shd w:val="clear" w:color="000000" w:fill="FFF2CC"/>
            <w:noWrap/>
            <w:vAlign w:val="bottom"/>
          </w:tcPr>
          <w:p w14:paraId="15B2E1CA"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15.85</w:t>
            </w:r>
          </w:p>
        </w:tc>
        <w:tc>
          <w:tcPr>
            <w:tcW w:w="1251" w:type="dxa"/>
            <w:tcBorders>
              <w:top w:val="nil"/>
              <w:left w:val="single" w:sz="4" w:space="0" w:color="auto"/>
              <w:bottom w:val="single" w:sz="4" w:space="0" w:color="auto"/>
              <w:right w:val="single" w:sz="4" w:space="0" w:color="auto"/>
            </w:tcBorders>
            <w:shd w:val="clear" w:color="000000" w:fill="FFF2CC"/>
            <w:noWrap/>
            <w:vAlign w:val="bottom"/>
          </w:tcPr>
          <w:p w14:paraId="0A8CC081"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48.37%</w:t>
            </w:r>
          </w:p>
        </w:tc>
        <w:tc>
          <w:tcPr>
            <w:tcW w:w="1042" w:type="dxa"/>
            <w:tcBorders>
              <w:top w:val="nil"/>
              <w:left w:val="nil"/>
              <w:bottom w:val="single" w:sz="4" w:space="0" w:color="auto"/>
              <w:right w:val="single" w:sz="4" w:space="0" w:color="auto"/>
            </w:tcBorders>
            <w:shd w:val="clear" w:color="000000" w:fill="FFF2CC"/>
            <w:noWrap/>
            <w:vAlign w:val="bottom"/>
          </w:tcPr>
          <w:p w14:paraId="54C1B83A"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51.63%</w:t>
            </w:r>
          </w:p>
        </w:tc>
      </w:tr>
      <w:tr w:rsidR="0044235C" w:rsidRPr="008810FD" w14:paraId="1313845A" w14:textId="77777777" w:rsidTr="00753945">
        <w:trPr>
          <w:trHeight w:val="300"/>
        </w:trPr>
        <w:tc>
          <w:tcPr>
            <w:tcW w:w="2640" w:type="dxa"/>
            <w:tcBorders>
              <w:top w:val="single" w:sz="4" w:space="0" w:color="auto"/>
              <w:left w:val="single" w:sz="8" w:space="0" w:color="auto"/>
              <w:bottom w:val="nil"/>
              <w:right w:val="single" w:sz="8" w:space="0" w:color="auto"/>
            </w:tcBorders>
            <w:shd w:val="clear" w:color="000000" w:fill="D9E1F2"/>
            <w:noWrap/>
            <w:vAlign w:val="center"/>
            <w:hideMark/>
          </w:tcPr>
          <w:p w14:paraId="01A925B2"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Pr>
                <w:rFonts w:ascii="Calibri" w:hAnsi="Calibri"/>
                <w:sz w:val="22"/>
                <w:szCs w:val="22"/>
                <w:bdr w:val="none" w:sz="0" w:space="0" w:color="auto"/>
              </w:rPr>
              <w:t>SAM</w:t>
            </w:r>
          </w:p>
        </w:tc>
        <w:tc>
          <w:tcPr>
            <w:tcW w:w="1518" w:type="dxa"/>
            <w:tcBorders>
              <w:top w:val="nil"/>
              <w:left w:val="single" w:sz="4" w:space="0" w:color="auto"/>
              <w:bottom w:val="single" w:sz="4" w:space="0" w:color="auto"/>
              <w:right w:val="single" w:sz="4" w:space="0" w:color="auto"/>
            </w:tcBorders>
            <w:shd w:val="clear" w:color="000000" w:fill="D9E1F2"/>
            <w:noWrap/>
            <w:vAlign w:val="bottom"/>
          </w:tcPr>
          <w:p w14:paraId="5117C1B4"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13.80</w:t>
            </w:r>
          </w:p>
        </w:tc>
        <w:tc>
          <w:tcPr>
            <w:tcW w:w="1309" w:type="dxa"/>
            <w:tcBorders>
              <w:top w:val="nil"/>
              <w:left w:val="nil"/>
              <w:bottom w:val="single" w:sz="4" w:space="0" w:color="auto"/>
              <w:right w:val="single" w:sz="4" w:space="0" w:color="auto"/>
            </w:tcBorders>
            <w:shd w:val="clear" w:color="000000" w:fill="D9E1F2"/>
            <w:noWrap/>
            <w:vAlign w:val="bottom"/>
          </w:tcPr>
          <w:p w14:paraId="176EFE65"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15.30</w:t>
            </w:r>
          </w:p>
        </w:tc>
        <w:tc>
          <w:tcPr>
            <w:tcW w:w="1251" w:type="dxa"/>
            <w:tcBorders>
              <w:top w:val="single" w:sz="4" w:space="0" w:color="auto"/>
              <w:left w:val="nil"/>
              <w:bottom w:val="single" w:sz="4" w:space="0" w:color="auto"/>
              <w:right w:val="single" w:sz="4" w:space="0" w:color="auto"/>
            </w:tcBorders>
            <w:shd w:val="clear" w:color="000000" w:fill="D9E1F2"/>
            <w:noWrap/>
            <w:vAlign w:val="bottom"/>
          </w:tcPr>
          <w:p w14:paraId="18222C21"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47.42%</w:t>
            </w:r>
          </w:p>
        </w:tc>
        <w:tc>
          <w:tcPr>
            <w:tcW w:w="1042" w:type="dxa"/>
            <w:tcBorders>
              <w:top w:val="single" w:sz="4" w:space="0" w:color="auto"/>
              <w:left w:val="nil"/>
              <w:bottom w:val="single" w:sz="4" w:space="0" w:color="auto"/>
              <w:right w:val="single" w:sz="4" w:space="0" w:color="auto"/>
            </w:tcBorders>
            <w:shd w:val="clear" w:color="000000" w:fill="D9E1F2"/>
            <w:noWrap/>
            <w:vAlign w:val="bottom"/>
          </w:tcPr>
          <w:p w14:paraId="7203B3BE"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52.68%</w:t>
            </w:r>
          </w:p>
        </w:tc>
      </w:tr>
      <w:tr w:rsidR="0044235C" w:rsidRPr="008810FD" w14:paraId="3FEBDC5D" w14:textId="77777777" w:rsidTr="00753945">
        <w:trPr>
          <w:trHeight w:val="300"/>
        </w:trPr>
        <w:tc>
          <w:tcPr>
            <w:tcW w:w="2640" w:type="dxa"/>
            <w:tcBorders>
              <w:top w:val="single" w:sz="4" w:space="0" w:color="auto"/>
              <w:left w:val="single" w:sz="8" w:space="0" w:color="auto"/>
              <w:bottom w:val="single" w:sz="4" w:space="0" w:color="auto"/>
              <w:right w:val="single" w:sz="8" w:space="0" w:color="auto"/>
            </w:tcBorders>
            <w:shd w:val="clear" w:color="000000" w:fill="FFF2CC"/>
            <w:noWrap/>
            <w:vAlign w:val="center"/>
            <w:hideMark/>
          </w:tcPr>
          <w:p w14:paraId="6EC91BC7"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Pr>
                <w:rFonts w:ascii="Calibri" w:hAnsi="Calibri"/>
                <w:sz w:val="22"/>
                <w:szCs w:val="22"/>
                <w:bdr w:val="none" w:sz="0" w:space="0" w:color="auto"/>
              </w:rPr>
              <w:t>TKD</w:t>
            </w:r>
          </w:p>
        </w:tc>
        <w:tc>
          <w:tcPr>
            <w:tcW w:w="1518" w:type="dxa"/>
            <w:tcBorders>
              <w:top w:val="nil"/>
              <w:left w:val="single" w:sz="4" w:space="0" w:color="auto"/>
              <w:bottom w:val="single" w:sz="4" w:space="0" w:color="auto"/>
              <w:right w:val="single" w:sz="4" w:space="0" w:color="auto"/>
            </w:tcBorders>
            <w:shd w:val="clear" w:color="000000" w:fill="FFF2CC"/>
            <w:noWrap/>
            <w:vAlign w:val="bottom"/>
          </w:tcPr>
          <w:p w14:paraId="343B8C24"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6.00</w:t>
            </w:r>
          </w:p>
        </w:tc>
        <w:tc>
          <w:tcPr>
            <w:tcW w:w="1309" w:type="dxa"/>
            <w:tcBorders>
              <w:top w:val="nil"/>
              <w:left w:val="nil"/>
              <w:bottom w:val="single" w:sz="4" w:space="0" w:color="auto"/>
              <w:right w:val="single" w:sz="4" w:space="0" w:color="auto"/>
            </w:tcBorders>
            <w:shd w:val="clear" w:color="000000" w:fill="FFF2CC"/>
            <w:noWrap/>
            <w:vAlign w:val="bottom"/>
          </w:tcPr>
          <w:p w14:paraId="6B7C1BD0"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11.70</w:t>
            </w:r>
          </w:p>
        </w:tc>
        <w:tc>
          <w:tcPr>
            <w:tcW w:w="1251" w:type="dxa"/>
            <w:tcBorders>
              <w:top w:val="nil"/>
              <w:left w:val="single" w:sz="4" w:space="0" w:color="auto"/>
              <w:bottom w:val="single" w:sz="4" w:space="0" w:color="auto"/>
              <w:right w:val="single" w:sz="4" w:space="0" w:color="auto"/>
            </w:tcBorders>
            <w:shd w:val="clear" w:color="000000" w:fill="FFF2CC"/>
            <w:noWrap/>
            <w:vAlign w:val="bottom"/>
          </w:tcPr>
          <w:p w14:paraId="1343F97E"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33.90%</w:t>
            </w:r>
          </w:p>
        </w:tc>
        <w:tc>
          <w:tcPr>
            <w:tcW w:w="1042" w:type="dxa"/>
            <w:tcBorders>
              <w:top w:val="nil"/>
              <w:left w:val="nil"/>
              <w:bottom w:val="single" w:sz="4" w:space="0" w:color="auto"/>
              <w:right w:val="single" w:sz="4" w:space="0" w:color="auto"/>
            </w:tcBorders>
            <w:shd w:val="clear" w:color="000000" w:fill="FFF2CC"/>
            <w:noWrap/>
            <w:vAlign w:val="bottom"/>
          </w:tcPr>
          <w:p w14:paraId="31C72539"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66.10%</w:t>
            </w:r>
          </w:p>
        </w:tc>
      </w:tr>
      <w:tr w:rsidR="0044235C" w:rsidRPr="008810FD" w14:paraId="4978F0F9" w14:textId="77777777" w:rsidTr="00753945">
        <w:trPr>
          <w:trHeight w:val="315"/>
        </w:trPr>
        <w:tc>
          <w:tcPr>
            <w:tcW w:w="2640" w:type="dxa"/>
            <w:tcBorders>
              <w:top w:val="nil"/>
              <w:left w:val="single" w:sz="8" w:space="0" w:color="auto"/>
              <w:bottom w:val="single" w:sz="8" w:space="0" w:color="auto"/>
              <w:right w:val="single" w:sz="8" w:space="0" w:color="auto"/>
            </w:tcBorders>
            <w:shd w:val="clear" w:color="000000" w:fill="D9E1F2"/>
            <w:noWrap/>
            <w:vAlign w:val="center"/>
            <w:hideMark/>
          </w:tcPr>
          <w:p w14:paraId="5671C1C3"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sz w:val="22"/>
                <w:szCs w:val="22"/>
                <w:bdr w:val="none" w:sz="0" w:space="0" w:color="auto"/>
              </w:rPr>
            </w:pPr>
            <w:r>
              <w:rPr>
                <w:rFonts w:ascii="Calibri" w:hAnsi="Calibri"/>
                <w:sz w:val="22"/>
                <w:szCs w:val="22"/>
                <w:bdr w:val="none" w:sz="0" w:space="0" w:color="auto"/>
              </w:rPr>
              <w:t>SVA</w:t>
            </w:r>
          </w:p>
        </w:tc>
        <w:tc>
          <w:tcPr>
            <w:tcW w:w="1518" w:type="dxa"/>
            <w:tcBorders>
              <w:top w:val="single" w:sz="4" w:space="0" w:color="auto"/>
              <w:left w:val="single" w:sz="4" w:space="0" w:color="auto"/>
              <w:bottom w:val="single" w:sz="8" w:space="0" w:color="auto"/>
              <w:right w:val="single" w:sz="4" w:space="0" w:color="auto"/>
            </w:tcBorders>
            <w:shd w:val="clear" w:color="000000" w:fill="D9E1F2"/>
            <w:noWrap/>
            <w:vAlign w:val="bottom"/>
          </w:tcPr>
          <w:p w14:paraId="652337D8"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20.20</w:t>
            </w:r>
          </w:p>
        </w:tc>
        <w:tc>
          <w:tcPr>
            <w:tcW w:w="1309" w:type="dxa"/>
            <w:tcBorders>
              <w:top w:val="single" w:sz="4" w:space="0" w:color="auto"/>
              <w:left w:val="nil"/>
              <w:bottom w:val="single" w:sz="8" w:space="0" w:color="auto"/>
              <w:right w:val="single" w:sz="4" w:space="0" w:color="auto"/>
            </w:tcBorders>
            <w:shd w:val="clear" w:color="000000" w:fill="D9E1F2"/>
            <w:noWrap/>
            <w:vAlign w:val="bottom"/>
          </w:tcPr>
          <w:p w14:paraId="132249CA"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16.61</w:t>
            </w:r>
          </w:p>
        </w:tc>
        <w:tc>
          <w:tcPr>
            <w:tcW w:w="1251" w:type="dxa"/>
            <w:tcBorders>
              <w:top w:val="nil"/>
              <w:left w:val="nil"/>
              <w:bottom w:val="single" w:sz="8" w:space="0" w:color="auto"/>
              <w:right w:val="single" w:sz="4" w:space="0" w:color="auto"/>
            </w:tcBorders>
            <w:shd w:val="clear" w:color="000000" w:fill="D9E1F2"/>
            <w:noWrap/>
            <w:vAlign w:val="bottom"/>
          </w:tcPr>
          <w:p w14:paraId="25758893"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54.88%</w:t>
            </w:r>
          </w:p>
        </w:tc>
        <w:tc>
          <w:tcPr>
            <w:tcW w:w="1042" w:type="dxa"/>
            <w:tcBorders>
              <w:top w:val="nil"/>
              <w:left w:val="nil"/>
              <w:bottom w:val="single" w:sz="8" w:space="0" w:color="auto"/>
              <w:right w:val="single" w:sz="4" w:space="0" w:color="auto"/>
            </w:tcBorders>
            <w:shd w:val="clear" w:color="000000" w:fill="D9E1F2"/>
            <w:noWrap/>
            <w:vAlign w:val="bottom"/>
          </w:tcPr>
          <w:p w14:paraId="2905401A" w14:textId="77777777" w:rsidR="0044235C" w:rsidRPr="008810FD" w:rsidRDefault="0044235C" w:rsidP="00753945">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sz w:val="22"/>
                <w:szCs w:val="22"/>
                <w:bdr w:val="none" w:sz="0" w:space="0" w:color="auto"/>
              </w:rPr>
            </w:pPr>
            <w:r>
              <w:rPr>
                <w:rFonts w:ascii="Calibri" w:hAnsi="Calibri"/>
                <w:sz w:val="22"/>
                <w:szCs w:val="22"/>
                <w:bdr w:val="none" w:sz="0" w:space="0" w:color="auto"/>
              </w:rPr>
              <w:t>45.12%</w:t>
            </w:r>
          </w:p>
        </w:tc>
      </w:tr>
    </w:tbl>
    <w:p w14:paraId="2C46659E" w14:textId="187467E1" w:rsidR="000B262E" w:rsidRDefault="000B262E" w:rsidP="000A69A6">
      <w:pPr>
        <w:spacing w:line="276" w:lineRule="auto"/>
        <w:rPr>
          <w:rFonts w:ascii="Calibri" w:hAnsi="Calibri"/>
        </w:rPr>
      </w:pPr>
    </w:p>
    <w:p w14:paraId="44C1D28B" w14:textId="77777777" w:rsidR="000B262E" w:rsidRDefault="000B262E">
      <w:pPr>
        <w:rPr>
          <w:rFonts w:ascii="Calibri" w:hAnsi="Calibri"/>
        </w:rPr>
      </w:pPr>
      <w:r>
        <w:rPr>
          <w:rFonts w:ascii="Calibri" w:hAnsi="Calibri"/>
        </w:rPr>
        <w:br w:type="page"/>
      </w:r>
    </w:p>
    <w:p w14:paraId="68762B9F" w14:textId="77777777" w:rsidR="00C25BEE" w:rsidRPr="000E1920" w:rsidRDefault="00C25BEE" w:rsidP="000A69A6">
      <w:pPr>
        <w:spacing w:line="276" w:lineRule="auto"/>
        <w:rPr>
          <w:rFonts w:ascii="Calibri" w:hAnsi="Calibri"/>
        </w:rPr>
      </w:pPr>
    </w:p>
    <w:tbl>
      <w:tblPr>
        <w:tblW w:w="10951" w:type="dxa"/>
        <w:tblCellMar>
          <w:left w:w="70" w:type="dxa"/>
          <w:right w:w="70" w:type="dxa"/>
        </w:tblCellMar>
        <w:tblLook w:val="04A0" w:firstRow="1" w:lastRow="0" w:firstColumn="1" w:lastColumn="0" w:noHBand="0" w:noVBand="1"/>
      </w:tblPr>
      <w:tblGrid>
        <w:gridCol w:w="4207"/>
        <w:gridCol w:w="1249"/>
        <w:gridCol w:w="1249"/>
        <w:gridCol w:w="1497"/>
        <w:gridCol w:w="1497"/>
        <w:gridCol w:w="1252"/>
      </w:tblGrid>
      <w:tr w:rsidR="00EE4311" w:rsidRPr="00EE4311" w14:paraId="17C4DBC3" w14:textId="77777777" w:rsidTr="001B73F9">
        <w:trPr>
          <w:trHeight w:val="261"/>
        </w:trPr>
        <w:tc>
          <w:tcPr>
            <w:tcW w:w="1095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FB9660" w14:textId="77777777" w:rsidR="00EE4311" w:rsidRPr="00EE4311"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b/>
                <w:bCs/>
                <w:color w:val="000000"/>
                <w:sz w:val="22"/>
                <w:szCs w:val="22"/>
                <w:bdr w:val="none" w:sz="0" w:space="0" w:color="auto"/>
              </w:rPr>
            </w:pPr>
            <w:r>
              <w:rPr>
                <w:rFonts w:ascii="Calibri" w:hAnsi="Calibri"/>
                <w:b/>
                <w:bCs/>
                <w:color w:val="000000"/>
                <w:sz w:val="22"/>
                <w:szCs w:val="22"/>
                <w:bdr w:val="none" w:sz="0" w:space="0" w:color="auto"/>
              </w:rPr>
              <w:t xml:space="preserve">Development in gender balance from recruitment positions to top teaching and research positions at </w:t>
            </w:r>
            <w:proofErr w:type="spellStart"/>
            <w:r>
              <w:rPr>
                <w:rFonts w:ascii="Calibri" w:hAnsi="Calibri"/>
                <w:b/>
                <w:bCs/>
                <w:color w:val="000000"/>
                <w:sz w:val="22"/>
                <w:szCs w:val="22"/>
                <w:bdr w:val="none" w:sz="0" w:space="0" w:color="auto"/>
              </w:rPr>
              <w:t>HiOA</w:t>
            </w:r>
            <w:proofErr w:type="spellEnd"/>
          </w:p>
        </w:tc>
      </w:tr>
      <w:tr w:rsidR="00EE4311" w:rsidRPr="00EE4311" w14:paraId="262F02BF" w14:textId="77777777" w:rsidTr="001B73F9">
        <w:trPr>
          <w:trHeight w:val="261"/>
        </w:trPr>
        <w:tc>
          <w:tcPr>
            <w:tcW w:w="4207" w:type="dxa"/>
            <w:tcBorders>
              <w:top w:val="nil"/>
              <w:left w:val="single" w:sz="4" w:space="0" w:color="auto"/>
              <w:bottom w:val="single" w:sz="4" w:space="0" w:color="auto"/>
              <w:right w:val="single" w:sz="4" w:space="0" w:color="auto"/>
            </w:tcBorders>
            <w:shd w:val="clear" w:color="auto" w:fill="auto"/>
            <w:noWrap/>
            <w:vAlign w:val="bottom"/>
            <w:hideMark/>
          </w:tcPr>
          <w:p w14:paraId="762F771E" w14:textId="77777777" w:rsidR="00EE4311" w:rsidRPr="00EE4311"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2"/>
                <w:szCs w:val="22"/>
                <w:bdr w:val="none" w:sz="0" w:space="0" w:color="auto"/>
              </w:rPr>
            </w:pPr>
            <w:r>
              <w:rPr>
                <w:rFonts w:ascii="Calibri" w:hAnsi="Calibri"/>
                <w:color w:val="000000"/>
                <w:sz w:val="22"/>
                <w:szCs w:val="22"/>
                <w:bdr w:val="none" w:sz="0" w:space="0" w:color="auto"/>
              </w:rPr>
              <w:t> </w:t>
            </w:r>
          </w:p>
        </w:tc>
        <w:tc>
          <w:tcPr>
            <w:tcW w:w="6743" w:type="dxa"/>
            <w:gridSpan w:val="5"/>
            <w:tcBorders>
              <w:top w:val="single" w:sz="4" w:space="0" w:color="auto"/>
              <w:left w:val="nil"/>
              <w:bottom w:val="single" w:sz="4" w:space="0" w:color="auto"/>
              <w:right w:val="single" w:sz="4" w:space="0" w:color="auto"/>
            </w:tcBorders>
            <w:shd w:val="clear" w:color="auto" w:fill="auto"/>
            <w:noWrap/>
            <w:vAlign w:val="bottom"/>
            <w:hideMark/>
          </w:tcPr>
          <w:p w14:paraId="15F9AB58" w14:textId="77777777" w:rsidR="00EE4311" w:rsidRPr="00EE4311"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eastAsia="Times New Roman" w:hAnsi="Calibri"/>
                <w:color w:val="000000"/>
                <w:sz w:val="22"/>
                <w:szCs w:val="22"/>
                <w:bdr w:val="none" w:sz="0" w:space="0" w:color="auto"/>
              </w:rPr>
            </w:pPr>
            <w:r>
              <w:rPr>
                <w:rFonts w:ascii="Calibri" w:hAnsi="Calibri"/>
                <w:color w:val="000000"/>
                <w:sz w:val="22"/>
                <w:szCs w:val="22"/>
                <w:bdr w:val="none" w:sz="0" w:space="0" w:color="auto"/>
              </w:rPr>
              <w:t>Percentage of women in whole numbers (Source: DBH)</w:t>
            </w:r>
          </w:p>
        </w:tc>
      </w:tr>
      <w:tr w:rsidR="00EE4311" w:rsidRPr="000A585B" w14:paraId="2B6C19D2" w14:textId="77777777" w:rsidTr="001B73F9">
        <w:trPr>
          <w:trHeight w:val="261"/>
        </w:trPr>
        <w:tc>
          <w:tcPr>
            <w:tcW w:w="4207" w:type="dxa"/>
            <w:tcBorders>
              <w:top w:val="nil"/>
              <w:left w:val="single" w:sz="4" w:space="0" w:color="auto"/>
              <w:bottom w:val="single" w:sz="4" w:space="0" w:color="auto"/>
              <w:right w:val="single" w:sz="4" w:space="0" w:color="auto"/>
            </w:tcBorders>
            <w:shd w:val="clear" w:color="000000" w:fill="D0CECE"/>
            <w:noWrap/>
            <w:vAlign w:val="bottom"/>
            <w:hideMark/>
          </w:tcPr>
          <w:p w14:paraId="74892091"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Positions</w:t>
            </w:r>
          </w:p>
        </w:tc>
        <w:tc>
          <w:tcPr>
            <w:tcW w:w="1249" w:type="dxa"/>
            <w:tcBorders>
              <w:top w:val="nil"/>
              <w:left w:val="nil"/>
              <w:bottom w:val="single" w:sz="4" w:space="0" w:color="auto"/>
              <w:right w:val="single" w:sz="4" w:space="0" w:color="auto"/>
            </w:tcBorders>
            <w:shd w:val="clear" w:color="000000" w:fill="D0CECE"/>
            <w:noWrap/>
            <w:vAlign w:val="bottom"/>
            <w:hideMark/>
          </w:tcPr>
          <w:p w14:paraId="4BB349F2"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2012</w:t>
            </w:r>
          </w:p>
        </w:tc>
        <w:tc>
          <w:tcPr>
            <w:tcW w:w="1249" w:type="dxa"/>
            <w:tcBorders>
              <w:top w:val="nil"/>
              <w:left w:val="nil"/>
              <w:bottom w:val="single" w:sz="4" w:space="0" w:color="auto"/>
              <w:right w:val="single" w:sz="4" w:space="0" w:color="auto"/>
            </w:tcBorders>
            <w:shd w:val="clear" w:color="000000" w:fill="D0CECE"/>
            <w:noWrap/>
            <w:vAlign w:val="bottom"/>
            <w:hideMark/>
          </w:tcPr>
          <w:p w14:paraId="382898B7"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2013</w:t>
            </w:r>
          </w:p>
        </w:tc>
        <w:tc>
          <w:tcPr>
            <w:tcW w:w="1497" w:type="dxa"/>
            <w:tcBorders>
              <w:top w:val="nil"/>
              <w:left w:val="nil"/>
              <w:bottom w:val="single" w:sz="4" w:space="0" w:color="auto"/>
              <w:right w:val="single" w:sz="4" w:space="0" w:color="auto"/>
            </w:tcBorders>
            <w:shd w:val="clear" w:color="000000" w:fill="D0CECE"/>
            <w:noWrap/>
            <w:vAlign w:val="bottom"/>
            <w:hideMark/>
          </w:tcPr>
          <w:p w14:paraId="0877691E"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2014</w:t>
            </w:r>
          </w:p>
        </w:tc>
        <w:tc>
          <w:tcPr>
            <w:tcW w:w="1497" w:type="dxa"/>
            <w:tcBorders>
              <w:top w:val="nil"/>
              <w:left w:val="nil"/>
              <w:bottom w:val="single" w:sz="4" w:space="0" w:color="auto"/>
              <w:right w:val="single" w:sz="4" w:space="0" w:color="auto"/>
            </w:tcBorders>
            <w:shd w:val="clear" w:color="000000" w:fill="D0CECE"/>
            <w:noWrap/>
            <w:vAlign w:val="bottom"/>
            <w:hideMark/>
          </w:tcPr>
          <w:p w14:paraId="6808660F"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2015</w:t>
            </w:r>
          </w:p>
        </w:tc>
        <w:tc>
          <w:tcPr>
            <w:tcW w:w="1249" w:type="dxa"/>
            <w:tcBorders>
              <w:top w:val="nil"/>
              <w:left w:val="nil"/>
              <w:bottom w:val="single" w:sz="4" w:space="0" w:color="auto"/>
              <w:right w:val="single" w:sz="4" w:space="0" w:color="auto"/>
            </w:tcBorders>
            <w:shd w:val="clear" w:color="000000" w:fill="D0CECE"/>
            <w:noWrap/>
            <w:vAlign w:val="bottom"/>
            <w:hideMark/>
          </w:tcPr>
          <w:p w14:paraId="25403633"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2016</w:t>
            </w:r>
          </w:p>
        </w:tc>
      </w:tr>
      <w:tr w:rsidR="00EE4311" w:rsidRPr="000A585B" w14:paraId="6EA83707" w14:textId="77777777" w:rsidTr="001B73F9">
        <w:trPr>
          <w:trHeight w:val="261"/>
        </w:trPr>
        <w:tc>
          <w:tcPr>
            <w:tcW w:w="4207" w:type="dxa"/>
            <w:tcBorders>
              <w:top w:val="nil"/>
              <w:left w:val="single" w:sz="4" w:space="0" w:color="auto"/>
              <w:bottom w:val="single" w:sz="4" w:space="0" w:color="auto"/>
              <w:right w:val="single" w:sz="4" w:space="0" w:color="auto"/>
            </w:tcBorders>
            <w:shd w:val="clear" w:color="auto" w:fill="auto"/>
            <w:noWrap/>
            <w:vAlign w:val="bottom"/>
            <w:hideMark/>
          </w:tcPr>
          <w:p w14:paraId="6D275837"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Professors</w:t>
            </w:r>
          </w:p>
        </w:tc>
        <w:tc>
          <w:tcPr>
            <w:tcW w:w="1249" w:type="dxa"/>
            <w:tcBorders>
              <w:top w:val="nil"/>
              <w:left w:val="nil"/>
              <w:bottom w:val="single" w:sz="4" w:space="0" w:color="auto"/>
              <w:right w:val="single" w:sz="4" w:space="0" w:color="auto"/>
            </w:tcBorders>
            <w:shd w:val="clear" w:color="auto" w:fill="auto"/>
            <w:noWrap/>
            <w:vAlign w:val="bottom"/>
            <w:hideMark/>
          </w:tcPr>
          <w:p w14:paraId="19702866"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41%</w:t>
            </w:r>
          </w:p>
        </w:tc>
        <w:tc>
          <w:tcPr>
            <w:tcW w:w="1249" w:type="dxa"/>
            <w:tcBorders>
              <w:top w:val="nil"/>
              <w:left w:val="nil"/>
              <w:bottom w:val="single" w:sz="4" w:space="0" w:color="auto"/>
              <w:right w:val="single" w:sz="4" w:space="0" w:color="auto"/>
            </w:tcBorders>
            <w:shd w:val="clear" w:color="auto" w:fill="auto"/>
            <w:noWrap/>
            <w:vAlign w:val="bottom"/>
            <w:hideMark/>
          </w:tcPr>
          <w:p w14:paraId="7ECA929D"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42%</w:t>
            </w:r>
          </w:p>
        </w:tc>
        <w:tc>
          <w:tcPr>
            <w:tcW w:w="1497" w:type="dxa"/>
            <w:tcBorders>
              <w:top w:val="nil"/>
              <w:left w:val="nil"/>
              <w:bottom w:val="single" w:sz="4" w:space="0" w:color="auto"/>
              <w:right w:val="single" w:sz="4" w:space="0" w:color="auto"/>
            </w:tcBorders>
            <w:shd w:val="clear" w:color="auto" w:fill="auto"/>
            <w:noWrap/>
            <w:vAlign w:val="bottom"/>
            <w:hideMark/>
          </w:tcPr>
          <w:p w14:paraId="3C678EC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47%</w:t>
            </w:r>
          </w:p>
        </w:tc>
        <w:tc>
          <w:tcPr>
            <w:tcW w:w="1497" w:type="dxa"/>
            <w:tcBorders>
              <w:top w:val="nil"/>
              <w:left w:val="nil"/>
              <w:bottom w:val="single" w:sz="4" w:space="0" w:color="auto"/>
              <w:right w:val="single" w:sz="4" w:space="0" w:color="auto"/>
            </w:tcBorders>
            <w:shd w:val="clear" w:color="auto" w:fill="auto"/>
            <w:noWrap/>
            <w:vAlign w:val="bottom"/>
            <w:hideMark/>
          </w:tcPr>
          <w:p w14:paraId="6BDCC73F"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49%</w:t>
            </w:r>
          </w:p>
        </w:tc>
        <w:tc>
          <w:tcPr>
            <w:tcW w:w="1249" w:type="dxa"/>
            <w:tcBorders>
              <w:top w:val="nil"/>
              <w:left w:val="nil"/>
              <w:bottom w:val="single" w:sz="4" w:space="0" w:color="auto"/>
              <w:right w:val="single" w:sz="4" w:space="0" w:color="auto"/>
            </w:tcBorders>
            <w:shd w:val="clear" w:color="auto" w:fill="auto"/>
            <w:noWrap/>
            <w:vAlign w:val="bottom"/>
            <w:hideMark/>
          </w:tcPr>
          <w:p w14:paraId="0FD4B81F"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48%</w:t>
            </w:r>
          </w:p>
        </w:tc>
      </w:tr>
      <w:tr w:rsidR="00EE4311" w:rsidRPr="000A585B" w14:paraId="2DAA3B90" w14:textId="77777777" w:rsidTr="001B73F9">
        <w:trPr>
          <w:trHeight w:val="261"/>
        </w:trPr>
        <w:tc>
          <w:tcPr>
            <w:tcW w:w="4207" w:type="dxa"/>
            <w:tcBorders>
              <w:top w:val="nil"/>
              <w:left w:val="single" w:sz="4" w:space="0" w:color="auto"/>
              <w:bottom w:val="single" w:sz="4" w:space="0" w:color="auto"/>
              <w:right w:val="single" w:sz="4" w:space="0" w:color="auto"/>
            </w:tcBorders>
            <w:shd w:val="clear" w:color="000000" w:fill="E7E6E6"/>
            <w:noWrap/>
            <w:vAlign w:val="bottom"/>
            <w:hideMark/>
          </w:tcPr>
          <w:p w14:paraId="46540978"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proofErr w:type="spellStart"/>
            <w:r>
              <w:rPr>
                <w:rFonts w:ascii="Calibri" w:hAnsi="Calibri"/>
                <w:i/>
                <w:color w:val="000000"/>
                <w:sz w:val="20"/>
                <w:szCs w:val="20"/>
                <w:bdr w:val="none" w:sz="0" w:space="0" w:color="auto"/>
              </w:rPr>
              <w:t>Dosent</w:t>
            </w:r>
            <w:proofErr w:type="spellEnd"/>
            <w:r>
              <w:rPr>
                <w:rFonts w:ascii="Calibri" w:hAnsi="Calibri"/>
                <w:color w:val="000000"/>
                <w:sz w:val="20"/>
                <w:szCs w:val="20"/>
                <w:bdr w:val="none" w:sz="0" w:space="0" w:color="auto"/>
              </w:rPr>
              <w:t xml:space="preserve"> professors</w:t>
            </w:r>
          </w:p>
        </w:tc>
        <w:tc>
          <w:tcPr>
            <w:tcW w:w="1249" w:type="dxa"/>
            <w:tcBorders>
              <w:top w:val="nil"/>
              <w:left w:val="nil"/>
              <w:bottom w:val="single" w:sz="4" w:space="0" w:color="auto"/>
              <w:right w:val="single" w:sz="4" w:space="0" w:color="auto"/>
            </w:tcBorders>
            <w:shd w:val="clear" w:color="000000" w:fill="E7E6E6"/>
            <w:noWrap/>
            <w:vAlign w:val="bottom"/>
            <w:hideMark/>
          </w:tcPr>
          <w:p w14:paraId="20FC193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27%</w:t>
            </w:r>
          </w:p>
        </w:tc>
        <w:tc>
          <w:tcPr>
            <w:tcW w:w="1249" w:type="dxa"/>
            <w:tcBorders>
              <w:top w:val="nil"/>
              <w:left w:val="nil"/>
              <w:bottom w:val="single" w:sz="4" w:space="0" w:color="auto"/>
              <w:right w:val="single" w:sz="4" w:space="0" w:color="auto"/>
            </w:tcBorders>
            <w:shd w:val="clear" w:color="000000" w:fill="E7E6E6"/>
            <w:noWrap/>
            <w:vAlign w:val="bottom"/>
            <w:hideMark/>
          </w:tcPr>
          <w:p w14:paraId="0260E812"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22%</w:t>
            </w:r>
          </w:p>
        </w:tc>
        <w:tc>
          <w:tcPr>
            <w:tcW w:w="1497" w:type="dxa"/>
            <w:tcBorders>
              <w:top w:val="nil"/>
              <w:left w:val="nil"/>
              <w:bottom w:val="single" w:sz="4" w:space="0" w:color="auto"/>
              <w:right w:val="single" w:sz="4" w:space="0" w:color="auto"/>
            </w:tcBorders>
            <w:shd w:val="clear" w:color="000000" w:fill="E7E6E6"/>
            <w:noWrap/>
            <w:vAlign w:val="bottom"/>
            <w:hideMark/>
          </w:tcPr>
          <w:p w14:paraId="5AB3A2C6"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19%</w:t>
            </w:r>
          </w:p>
        </w:tc>
        <w:tc>
          <w:tcPr>
            <w:tcW w:w="1497" w:type="dxa"/>
            <w:tcBorders>
              <w:top w:val="nil"/>
              <w:left w:val="nil"/>
              <w:bottom w:val="single" w:sz="4" w:space="0" w:color="auto"/>
              <w:right w:val="single" w:sz="4" w:space="0" w:color="auto"/>
            </w:tcBorders>
            <w:shd w:val="clear" w:color="000000" w:fill="E7E6E6"/>
            <w:noWrap/>
            <w:vAlign w:val="bottom"/>
            <w:hideMark/>
          </w:tcPr>
          <w:p w14:paraId="38787487"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43%</w:t>
            </w:r>
          </w:p>
        </w:tc>
        <w:tc>
          <w:tcPr>
            <w:tcW w:w="1249" w:type="dxa"/>
            <w:tcBorders>
              <w:top w:val="nil"/>
              <w:left w:val="nil"/>
              <w:bottom w:val="single" w:sz="4" w:space="0" w:color="auto"/>
              <w:right w:val="single" w:sz="4" w:space="0" w:color="auto"/>
            </w:tcBorders>
            <w:shd w:val="clear" w:color="000000" w:fill="E7E6E6"/>
            <w:noWrap/>
            <w:vAlign w:val="bottom"/>
            <w:hideMark/>
          </w:tcPr>
          <w:p w14:paraId="001B2D6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34%</w:t>
            </w:r>
          </w:p>
        </w:tc>
      </w:tr>
      <w:tr w:rsidR="00EE4311" w:rsidRPr="000A585B" w14:paraId="3C179C8C" w14:textId="77777777" w:rsidTr="001B73F9">
        <w:trPr>
          <w:trHeight w:val="261"/>
        </w:trPr>
        <w:tc>
          <w:tcPr>
            <w:tcW w:w="4207" w:type="dxa"/>
            <w:tcBorders>
              <w:top w:val="nil"/>
              <w:left w:val="single" w:sz="4" w:space="0" w:color="auto"/>
              <w:bottom w:val="single" w:sz="4" w:space="0" w:color="auto"/>
              <w:right w:val="single" w:sz="4" w:space="0" w:color="auto"/>
            </w:tcBorders>
            <w:shd w:val="clear" w:color="auto" w:fill="auto"/>
            <w:noWrap/>
            <w:vAlign w:val="bottom"/>
            <w:hideMark/>
          </w:tcPr>
          <w:p w14:paraId="76BBC70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Senior researchers</w:t>
            </w:r>
          </w:p>
        </w:tc>
        <w:tc>
          <w:tcPr>
            <w:tcW w:w="1249" w:type="dxa"/>
            <w:tcBorders>
              <w:top w:val="nil"/>
              <w:left w:val="nil"/>
              <w:bottom w:val="single" w:sz="4" w:space="0" w:color="auto"/>
              <w:right w:val="single" w:sz="4" w:space="0" w:color="auto"/>
            </w:tcBorders>
            <w:shd w:val="clear" w:color="auto" w:fill="auto"/>
            <w:noWrap/>
            <w:vAlign w:val="bottom"/>
            <w:hideMark/>
          </w:tcPr>
          <w:p w14:paraId="1CD00761"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0%</w:t>
            </w:r>
          </w:p>
        </w:tc>
        <w:tc>
          <w:tcPr>
            <w:tcW w:w="1249" w:type="dxa"/>
            <w:tcBorders>
              <w:top w:val="nil"/>
              <w:left w:val="nil"/>
              <w:bottom w:val="single" w:sz="4" w:space="0" w:color="auto"/>
              <w:right w:val="single" w:sz="4" w:space="0" w:color="auto"/>
            </w:tcBorders>
            <w:shd w:val="clear" w:color="auto" w:fill="auto"/>
            <w:noWrap/>
            <w:vAlign w:val="bottom"/>
            <w:hideMark/>
          </w:tcPr>
          <w:p w14:paraId="73B7DCFE"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0%</w:t>
            </w:r>
          </w:p>
        </w:tc>
        <w:tc>
          <w:tcPr>
            <w:tcW w:w="1497" w:type="dxa"/>
            <w:tcBorders>
              <w:top w:val="nil"/>
              <w:left w:val="nil"/>
              <w:bottom w:val="single" w:sz="4" w:space="0" w:color="auto"/>
              <w:right w:val="single" w:sz="4" w:space="0" w:color="auto"/>
            </w:tcBorders>
            <w:shd w:val="clear" w:color="auto" w:fill="auto"/>
            <w:noWrap/>
            <w:vAlign w:val="bottom"/>
            <w:hideMark/>
          </w:tcPr>
          <w:p w14:paraId="6FA5E46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52%</w:t>
            </w:r>
          </w:p>
        </w:tc>
        <w:tc>
          <w:tcPr>
            <w:tcW w:w="1497" w:type="dxa"/>
            <w:tcBorders>
              <w:top w:val="nil"/>
              <w:left w:val="nil"/>
              <w:bottom w:val="single" w:sz="4" w:space="0" w:color="auto"/>
              <w:right w:val="single" w:sz="4" w:space="0" w:color="auto"/>
            </w:tcBorders>
            <w:shd w:val="clear" w:color="auto" w:fill="auto"/>
            <w:noWrap/>
            <w:vAlign w:val="bottom"/>
            <w:hideMark/>
          </w:tcPr>
          <w:p w14:paraId="4A38EFA8"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55%</w:t>
            </w:r>
          </w:p>
        </w:tc>
        <w:tc>
          <w:tcPr>
            <w:tcW w:w="1249" w:type="dxa"/>
            <w:tcBorders>
              <w:top w:val="nil"/>
              <w:left w:val="nil"/>
              <w:bottom w:val="single" w:sz="4" w:space="0" w:color="auto"/>
              <w:right w:val="single" w:sz="4" w:space="0" w:color="auto"/>
            </w:tcBorders>
            <w:shd w:val="clear" w:color="auto" w:fill="auto"/>
            <w:noWrap/>
            <w:vAlign w:val="bottom"/>
            <w:hideMark/>
          </w:tcPr>
          <w:p w14:paraId="054ED395"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54%</w:t>
            </w:r>
          </w:p>
        </w:tc>
      </w:tr>
      <w:tr w:rsidR="00EE4311" w:rsidRPr="000A585B" w14:paraId="10CDDADC" w14:textId="77777777" w:rsidTr="001B73F9">
        <w:trPr>
          <w:trHeight w:val="261"/>
        </w:trPr>
        <w:tc>
          <w:tcPr>
            <w:tcW w:w="4207" w:type="dxa"/>
            <w:tcBorders>
              <w:top w:val="nil"/>
              <w:left w:val="single" w:sz="4" w:space="0" w:color="auto"/>
              <w:bottom w:val="single" w:sz="4" w:space="0" w:color="auto"/>
              <w:right w:val="single" w:sz="4" w:space="0" w:color="auto"/>
            </w:tcBorders>
            <w:shd w:val="clear" w:color="000000" w:fill="E7E6E6"/>
            <w:noWrap/>
            <w:vAlign w:val="bottom"/>
            <w:hideMark/>
          </w:tcPr>
          <w:p w14:paraId="70DD8125"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Associate professors (</w:t>
            </w:r>
            <w:proofErr w:type="spellStart"/>
            <w:r>
              <w:rPr>
                <w:rFonts w:ascii="Calibri" w:hAnsi="Calibri"/>
                <w:i/>
                <w:color w:val="000000"/>
                <w:sz w:val="20"/>
                <w:szCs w:val="20"/>
                <w:bdr w:val="none" w:sz="0" w:space="0" w:color="auto"/>
              </w:rPr>
              <w:t>Førsteamanuensis</w:t>
            </w:r>
            <w:proofErr w:type="spellEnd"/>
            <w:r>
              <w:rPr>
                <w:rFonts w:ascii="Calibri" w:hAnsi="Calibri"/>
                <w:color w:val="000000"/>
                <w:sz w:val="20"/>
                <w:szCs w:val="20"/>
                <w:bdr w:val="none" w:sz="0" w:space="0" w:color="auto"/>
              </w:rPr>
              <w:t>)</w:t>
            </w:r>
          </w:p>
        </w:tc>
        <w:tc>
          <w:tcPr>
            <w:tcW w:w="1249" w:type="dxa"/>
            <w:tcBorders>
              <w:top w:val="nil"/>
              <w:left w:val="nil"/>
              <w:bottom w:val="single" w:sz="4" w:space="0" w:color="auto"/>
              <w:right w:val="single" w:sz="4" w:space="0" w:color="auto"/>
            </w:tcBorders>
            <w:shd w:val="clear" w:color="000000" w:fill="E7E6E6"/>
            <w:noWrap/>
            <w:vAlign w:val="bottom"/>
            <w:hideMark/>
          </w:tcPr>
          <w:p w14:paraId="7CB063EB"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57%</w:t>
            </w:r>
          </w:p>
        </w:tc>
        <w:tc>
          <w:tcPr>
            <w:tcW w:w="1249" w:type="dxa"/>
            <w:tcBorders>
              <w:top w:val="nil"/>
              <w:left w:val="nil"/>
              <w:bottom w:val="single" w:sz="4" w:space="0" w:color="auto"/>
              <w:right w:val="single" w:sz="4" w:space="0" w:color="auto"/>
            </w:tcBorders>
            <w:shd w:val="clear" w:color="000000" w:fill="E7E6E6"/>
            <w:noWrap/>
            <w:vAlign w:val="bottom"/>
            <w:hideMark/>
          </w:tcPr>
          <w:p w14:paraId="15F63BC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58%</w:t>
            </w:r>
          </w:p>
        </w:tc>
        <w:tc>
          <w:tcPr>
            <w:tcW w:w="1497" w:type="dxa"/>
            <w:tcBorders>
              <w:top w:val="nil"/>
              <w:left w:val="nil"/>
              <w:bottom w:val="single" w:sz="4" w:space="0" w:color="auto"/>
              <w:right w:val="single" w:sz="4" w:space="0" w:color="auto"/>
            </w:tcBorders>
            <w:shd w:val="clear" w:color="000000" w:fill="E7E6E6"/>
            <w:noWrap/>
            <w:vAlign w:val="bottom"/>
            <w:hideMark/>
          </w:tcPr>
          <w:p w14:paraId="225F786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59%</w:t>
            </w:r>
          </w:p>
        </w:tc>
        <w:tc>
          <w:tcPr>
            <w:tcW w:w="1497" w:type="dxa"/>
            <w:tcBorders>
              <w:top w:val="nil"/>
              <w:left w:val="nil"/>
              <w:bottom w:val="single" w:sz="4" w:space="0" w:color="auto"/>
              <w:right w:val="single" w:sz="4" w:space="0" w:color="auto"/>
            </w:tcBorders>
            <w:shd w:val="clear" w:color="000000" w:fill="E7E6E6"/>
            <w:noWrap/>
            <w:vAlign w:val="bottom"/>
            <w:hideMark/>
          </w:tcPr>
          <w:p w14:paraId="439A51EB"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60%</w:t>
            </w:r>
          </w:p>
        </w:tc>
        <w:tc>
          <w:tcPr>
            <w:tcW w:w="1249" w:type="dxa"/>
            <w:tcBorders>
              <w:top w:val="nil"/>
              <w:left w:val="nil"/>
              <w:bottom w:val="single" w:sz="4" w:space="0" w:color="auto"/>
              <w:right w:val="single" w:sz="4" w:space="0" w:color="auto"/>
            </w:tcBorders>
            <w:shd w:val="clear" w:color="000000" w:fill="E7E6E6"/>
            <w:noWrap/>
            <w:vAlign w:val="bottom"/>
            <w:hideMark/>
          </w:tcPr>
          <w:p w14:paraId="12458A0D"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61%</w:t>
            </w:r>
          </w:p>
        </w:tc>
      </w:tr>
      <w:tr w:rsidR="00EE4311" w:rsidRPr="000A585B" w14:paraId="025B6864" w14:textId="77777777" w:rsidTr="001B73F9">
        <w:trPr>
          <w:trHeight w:val="261"/>
        </w:trPr>
        <w:tc>
          <w:tcPr>
            <w:tcW w:w="4207" w:type="dxa"/>
            <w:tcBorders>
              <w:top w:val="nil"/>
              <w:left w:val="single" w:sz="4" w:space="0" w:color="auto"/>
              <w:bottom w:val="single" w:sz="4" w:space="0" w:color="auto"/>
              <w:right w:val="single" w:sz="4" w:space="0" w:color="auto"/>
            </w:tcBorders>
            <w:shd w:val="clear" w:color="auto" w:fill="auto"/>
            <w:noWrap/>
            <w:vAlign w:val="bottom"/>
            <w:hideMark/>
          </w:tcPr>
          <w:p w14:paraId="4451DDFF"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Associate professors (</w:t>
            </w:r>
            <w:proofErr w:type="spellStart"/>
            <w:r>
              <w:rPr>
                <w:rFonts w:ascii="Calibri" w:hAnsi="Calibri"/>
                <w:i/>
                <w:color w:val="000000"/>
                <w:sz w:val="20"/>
                <w:szCs w:val="20"/>
                <w:bdr w:val="none" w:sz="0" w:space="0" w:color="auto"/>
              </w:rPr>
              <w:t>Førstelektor</w:t>
            </w:r>
            <w:proofErr w:type="spellEnd"/>
            <w:r>
              <w:rPr>
                <w:rFonts w:ascii="Calibri" w:hAnsi="Calibri"/>
                <w:color w:val="000000"/>
                <w:sz w:val="20"/>
                <w:szCs w:val="20"/>
                <w:bdr w:val="none" w:sz="0" w:space="0" w:color="auto"/>
              </w:rPr>
              <w:t>)</w:t>
            </w:r>
          </w:p>
        </w:tc>
        <w:tc>
          <w:tcPr>
            <w:tcW w:w="1249" w:type="dxa"/>
            <w:tcBorders>
              <w:top w:val="nil"/>
              <w:left w:val="nil"/>
              <w:bottom w:val="single" w:sz="4" w:space="0" w:color="auto"/>
              <w:right w:val="single" w:sz="4" w:space="0" w:color="auto"/>
            </w:tcBorders>
            <w:shd w:val="clear" w:color="auto" w:fill="auto"/>
            <w:noWrap/>
            <w:vAlign w:val="bottom"/>
            <w:hideMark/>
          </w:tcPr>
          <w:p w14:paraId="13BE62B2"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72%</w:t>
            </w:r>
          </w:p>
        </w:tc>
        <w:tc>
          <w:tcPr>
            <w:tcW w:w="1249" w:type="dxa"/>
            <w:tcBorders>
              <w:top w:val="nil"/>
              <w:left w:val="nil"/>
              <w:bottom w:val="single" w:sz="4" w:space="0" w:color="auto"/>
              <w:right w:val="single" w:sz="4" w:space="0" w:color="auto"/>
            </w:tcBorders>
            <w:shd w:val="clear" w:color="auto" w:fill="auto"/>
            <w:noWrap/>
            <w:vAlign w:val="bottom"/>
            <w:hideMark/>
          </w:tcPr>
          <w:p w14:paraId="09DCFF17"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71%</w:t>
            </w:r>
          </w:p>
        </w:tc>
        <w:tc>
          <w:tcPr>
            <w:tcW w:w="1497" w:type="dxa"/>
            <w:tcBorders>
              <w:top w:val="nil"/>
              <w:left w:val="nil"/>
              <w:bottom w:val="single" w:sz="4" w:space="0" w:color="auto"/>
              <w:right w:val="single" w:sz="4" w:space="0" w:color="auto"/>
            </w:tcBorders>
            <w:shd w:val="clear" w:color="auto" w:fill="auto"/>
            <w:noWrap/>
            <w:vAlign w:val="bottom"/>
            <w:hideMark/>
          </w:tcPr>
          <w:p w14:paraId="7E32C036"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73%</w:t>
            </w:r>
          </w:p>
        </w:tc>
        <w:tc>
          <w:tcPr>
            <w:tcW w:w="1497" w:type="dxa"/>
            <w:tcBorders>
              <w:top w:val="nil"/>
              <w:left w:val="nil"/>
              <w:bottom w:val="single" w:sz="4" w:space="0" w:color="auto"/>
              <w:right w:val="single" w:sz="4" w:space="0" w:color="auto"/>
            </w:tcBorders>
            <w:shd w:val="clear" w:color="auto" w:fill="auto"/>
            <w:noWrap/>
            <w:vAlign w:val="bottom"/>
            <w:hideMark/>
          </w:tcPr>
          <w:p w14:paraId="7C04D3EB"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76%</w:t>
            </w:r>
          </w:p>
        </w:tc>
        <w:tc>
          <w:tcPr>
            <w:tcW w:w="1249" w:type="dxa"/>
            <w:tcBorders>
              <w:top w:val="nil"/>
              <w:left w:val="nil"/>
              <w:bottom w:val="single" w:sz="4" w:space="0" w:color="auto"/>
              <w:right w:val="single" w:sz="4" w:space="0" w:color="auto"/>
            </w:tcBorders>
            <w:shd w:val="clear" w:color="auto" w:fill="auto"/>
            <w:noWrap/>
            <w:vAlign w:val="bottom"/>
            <w:hideMark/>
          </w:tcPr>
          <w:p w14:paraId="6042EBC2"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78%</w:t>
            </w:r>
          </w:p>
        </w:tc>
      </w:tr>
      <w:tr w:rsidR="00EE4311" w:rsidRPr="000A585B" w14:paraId="410B64B4" w14:textId="77777777" w:rsidTr="001B73F9">
        <w:trPr>
          <w:trHeight w:val="261"/>
        </w:trPr>
        <w:tc>
          <w:tcPr>
            <w:tcW w:w="4207" w:type="dxa"/>
            <w:tcBorders>
              <w:top w:val="nil"/>
              <w:left w:val="single" w:sz="4" w:space="0" w:color="auto"/>
              <w:bottom w:val="single" w:sz="4" w:space="0" w:color="auto"/>
              <w:right w:val="single" w:sz="4" w:space="0" w:color="auto"/>
            </w:tcBorders>
            <w:shd w:val="clear" w:color="000000" w:fill="E7E6E6"/>
            <w:noWrap/>
            <w:vAlign w:val="bottom"/>
            <w:hideMark/>
          </w:tcPr>
          <w:p w14:paraId="07C081E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Assistant professors</w:t>
            </w:r>
          </w:p>
        </w:tc>
        <w:tc>
          <w:tcPr>
            <w:tcW w:w="1249" w:type="dxa"/>
            <w:tcBorders>
              <w:top w:val="nil"/>
              <w:left w:val="nil"/>
              <w:bottom w:val="single" w:sz="4" w:space="0" w:color="auto"/>
              <w:right w:val="single" w:sz="4" w:space="0" w:color="auto"/>
            </w:tcBorders>
            <w:shd w:val="clear" w:color="000000" w:fill="E7E6E6"/>
            <w:noWrap/>
            <w:vAlign w:val="bottom"/>
            <w:hideMark/>
          </w:tcPr>
          <w:p w14:paraId="7F44FA0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74%</w:t>
            </w:r>
          </w:p>
        </w:tc>
        <w:tc>
          <w:tcPr>
            <w:tcW w:w="1249" w:type="dxa"/>
            <w:tcBorders>
              <w:top w:val="nil"/>
              <w:left w:val="nil"/>
              <w:bottom w:val="single" w:sz="4" w:space="0" w:color="auto"/>
              <w:right w:val="single" w:sz="4" w:space="0" w:color="auto"/>
            </w:tcBorders>
            <w:shd w:val="clear" w:color="000000" w:fill="E7E6E6"/>
            <w:noWrap/>
            <w:vAlign w:val="bottom"/>
            <w:hideMark/>
          </w:tcPr>
          <w:p w14:paraId="1439A1DA"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75%</w:t>
            </w:r>
          </w:p>
        </w:tc>
        <w:tc>
          <w:tcPr>
            <w:tcW w:w="1497" w:type="dxa"/>
            <w:tcBorders>
              <w:top w:val="nil"/>
              <w:left w:val="nil"/>
              <w:bottom w:val="single" w:sz="4" w:space="0" w:color="auto"/>
              <w:right w:val="single" w:sz="4" w:space="0" w:color="auto"/>
            </w:tcBorders>
            <w:shd w:val="clear" w:color="000000" w:fill="E7E6E6"/>
            <w:noWrap/>
            <w:vAlign w:val="bottom"/>
            <w:hideMark/>
          </w:tcPr>
          <w:p w14:paraId="0202EA5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76%</w:t>
            </w:r>
          </w:p>
        </w:tc>
        <w:tc>
          <w:tcPr>
            <w:tcW w:w="1497" w:type="dxa"/>
            <w:tcBorders>
              <w:top w:val="nil"/>
              <w:left w:val="nil"/>
              <w:bottom w:val="single" w:sz="4" w:space="0" w:color="auto"/>
              <w:right w:val="single" w:sz="4" w:space="0" w:color="auto"/>
            </w:tcBorders>
            <w:shd w:val="clear" w:color="000000" w:fill="E7E6E6"/>
            <w:noWrap/>
            <w:vAlign w:val="bottom"/>
            <w:hideMark/>
          </w:tcPr>
          <w:p w14:paraId="44E58DCF"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74%</w:t>
            </w:r>
          </w:p>
        </w:tc>
        <w:tc>
          <w:tcPr>
            <w:tcW w:w="1249" w:type="dxa"/>
            <w:tcBorders>
              <w:top w:val="nil"/>
              <w:left w:val="nil"/>
              <w:bottom w:val="single" w:sz="4" w:space="0" w:color="auto"/>
              <w:right w:val="single" w:sz="4" w:space="0" w:color="auto"/>
            </w:tcBorders>
            <w:shd w:val="clear" w:color="000000" w:fill="E7E6E6"/>
            <w:noWrap/>
            <w:vAlign w:val="bottom"/>
            <w:hideMark/>
          </w:tcPr>
          <w:p w14:paraId="357E157E"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76%</w:t>
            </w:r>
          </w:p>
        </w:tc>
      </w:tr>
      <w:tr w:rsidR="00EE4311" w:rsidRPr="000A585B" w14:paraId="597D548D" w14:textId="77777777" w:rsidTr="001B73F9">
        <w:trPr>
          <w:trHeight w:val="261"/>
        </w:trPr>
        <w:tc>
          <w:tcPr>
            <w:tcW w:w="4207" w:type="dxa"/>
            <w:tcBorders>
              <w:top w:val="nil"/>
              <w:left w:val="single" w:sz="4" w:space="0" w:color="auto"/>
              <w:bottom w:val="single" w:sz="4" w:space="0" w:color="auto"/>
              <w:right w:val="single" w:sz="4" w:space="0" w:color="auto"/>
            </w:tcBorders>
            <w:shd w:val="clear" w:color="auto" w:fill="auto"/>
            <w:noWrap/>
            <w:vAlign w:val="bottom"/>
            <w:hideMark/>
          </w:tcPr>
          <w:p w14:paraId="6D2336BD"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PhD research fellows</w:t>
            </w:r>
          </w:p>
        </w:tc>
        <w:tc>
          <w:tcPr>
            <w:tcW w:w="1249" w:type="dxa"/>
            <w:tcBorders>
              <w:top w:val="nil"/>
              <w:left w:val="nil"/>
              <w:bottom w:val="single" w:sz="4" w:space="0" w:color="auto"/>
              <w:right w:val="single" w:sz="4" w:space="0" w:color="auto"/>
            </w:tcBorders>
            <w:shd w:val="clear" w:color="auto" w:fill="auto"/>
            <w:noWrap/>
            <w:vAlign w:val="bottom"/>
            <w:hideMark/>
          </w:tcPr>
          <w:p w14:paraId="7AF7D955"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79%</w:t>
            </w:r>
          </w:p>
        </w:tc>
        <w:tc>
          <w:tcPr>
            <w:tcW w:w="1249" w:type="dxa"/>
            <w:tcBorders>
              <w:top w:val="nil"/>
              <w:left w:val="nil"/>
              <w:bottom w:val="single" w:sz="4" w:space="0" w:color="auto"/>
              <w:right w:val="single" w:sz="4" w:space="0" w:color="auto"/>
            </w:tcBorders>
            <w:shd w:val="clear" w:color="auto" w:fill="auto"/>
            <w:noWrap/>
            <w:vAlign w:val="bottom"/>
            <w:hideMark/>
          </w:tcPr>
          <w:p w14:paraId="115988A5"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73%</w:t>
            </w:r>
          </w:p>
        </w:tc>
        <w:tc>
          <w:tcPr>
            <w:tcW w:w="1497" w:type="dxa"/>
            <w:tcBorders>
              <w:top w:val="nil"/>
              <w:left w:val="nil"/>
              <w:bottom w:val="single" w:sz="4" w:space="0" w:color="auto"/>
              <w:right w:val="single" w:sz="4" w:space="0" w:color="auto"/>
            </w:tcBorders>
            <w:shd w:val="clear" w:color="auto" w:fill="auto"/>
            <w:noWrap/>
            <w:vAlign w:val="bottom"/>
            <w:hideMark/>
          </w:tcPr>
          <w:p w14:paraId="32DBD1A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68%</w:t>
            </w:r>
          </w:p>
        </w:tc>
        <w:tc>
          <w:tcPr>
            <w:tcW w:w="1497" w:type="dxa"/>
            <w:tcBorders>
              <w:top w:val="nil"/>
              <w:left w:val="nil"/>
              <w:bottom w:val="single" w:sz="4" w:space="0" w:color="auto"/>
              <w:right w:val="single" w:sz="4" w:space="0" w:color="auto"/>
            </w:tcBorders>
            <w:shd w:val="clear" w:color="auto" w:fill="auto"/>
            <w:noWrap/>
            <w:vAlign w:val="bottom"/>
            <w:hideMark/>
          </w:tcPr>
          <w:p w14:paraId="36078203"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70%</w:t>
            </w:r>
          </w:p>
        </w:tc>
        <w:tc>
          <w:tcPr>
            <w:tcW w:w="1249" w:type="dxa"/>
            <w:tcBorders>
              <w:top w:val="nil"/>
              <w:left w:val="nil"/>
              <w:bottom w:val="single" w:sz="4" w:space="0" w:color="auto"/>
              <w:right w:val="single" w:sz="4" w:space="0" w:color="auto"/>
            </w:tcBorders>
            <w:shd w:val="clear" w:color="auto" w:fill="auto"/>
            <w:noWrap/>
            <w:vAlign w:val="bottom"/>
            <w:hideMark/>
          </w:tcPr>
          <w:p w14:paraId="59136E5A"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68%</w:t>
            </w:r>
          </w:p>
        </w:tc>
      </w:tr>
      <w:tr w:rsidR="00EE4311" w:rsidRPr="000A585B" w14:paraId="742F529E" w14:textId="77777777" w:rsidTr="001B73F9">
        <w:trPr>
          <w:trHeight w:val="261"/>
        </w:trPr>
        <w:tc>
          <w:tcPr>
            <w:tcW w:w="4207" w:type="dxa"/>
            <w:tcBorders>
              <w:top w:val="nil"/>
              <w:left w:val="nil"/>
              <w:bottom w:val="nil"/>
              <w:right w:val="nil"/>
            </w:tcBorders>
            <w:shd w:val="clear" w:color="auto" w:fill="auto"/>
            <w:noWrap/>
            <w:vAlign w:val="bottom"/>
            <w:hideMark/>
          </w:tcPr>
          <w:p w14:paraId="3821879B"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lang w:eastAsia="nb-NO"/>
              </w:rPr>
            </w:pPr>
          </w:p>
        </w:tc>
        <w:tc>
          <w:tcPr>
            <w:tcW w:w="1249" w:type="dxa"/>
            <w:tcBorders>
              <w:top w:val="nil"/>
              <w:left w:val="nil"/>
              <w:bottom w:val="nil"/>
              <w:right w:val="nil"/>
            </w:tcBorders>
            <w:shd w:val="clear" w:color="auto" w:fill="auto"/>
            <w:noWrap/>
            <w:vAlign w:val="bottom"/>
            <w:hideMark/>
          </w:tcPr>
          <w:p w14:paraId="795C0BBD"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249" w:type="dxa"/>
            <w:tcBorders>
              <w:top w:val="nil"/>
              <w:left w:val="nil"/>
              <w:bottom w:val="nil"/>
              <w:right w:val="nil"/>
            </w:tcBorders>
            <w:shd w:val="clear" w:color="auto" w:fill="auto"/>
            <w:noWrap/>
            <w:vAlign w:val="bottom"/>
            <w:hideMark/>
          </w:tcPr>
          <w:p w14:paraId="5B3B47F8"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497" w:type="dxa"/>
            <w:tcBorders>
              <w:top w:val="nil"/>
              <w:left w:val="nil"/>
              <w:bottom w:val="nil"/>
              <w:right w:val="nil"/>
            </w:tcBorders>
            <w:shd w:val="clear" w:color="auto" w:fill="auto"/>
            <w:noWrap/>
            <w:vAlign w:val="bottom"/>
            <w:hideMark/>
          </w:tcPr>
          <w:p w14:paraId="0C44EE1B"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497" w:type="dxa"/>
            <w:tcBorders>
              <w:top w:val="nil"/>
              <w:left w:val="nil"/>
              <w:bottom w:val="nil"/>
              <w:right w:val="nil"/>
            </w:tcBorders>
            <w:shd w:val="clear" w:color="auto" w:fill="auto"/>
            <w:noWrap/>
            <w:vAlign w:val="bottom"/>
            <w:hideMark/>
          </w:tcPr>
          <w:p w14:paraId="4B6F42B2"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249" w:type="dxa"/>
            <w:tcBorders>
              <w:top w:val="nil"/>
              <w:left w:val="nil"/>
              <w:bottom w:val="nil"/>
              <w:right w:val="nil"/>
            </w:tcBorders>
            <w:shd w:val="clear" w:color="auto" w:fill="auto"/>
            <w:noWrap/>
            <w:vAlign w:val="bottom"/>
            <w:hideMark/>
          </w:tcPr>
          <w:p w14:paraId="065E8C0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r>
      <w:tr w:rsidR="00EE4311" w:rsidRPr="000A585B" w14:paraId="6807ED53" w14:textId="77777777" w:rsidTr="001B73F9">
        <w:trPr>
          <w:trHeight w:val="261"/>
        </w:trPr>
        <w:tc>
          <w:tcPr>
            <w:tcW w:w="4207" w:type="dxa"/>
            <w:tcBorders>
              <w:top w:val="nil"/>
              <w:left w:val="nil"/>
              <w:bottom w:val="nil"/>
              <w:right w:val="nil"/>
            </w:tcBorders>
            <w:shd w:val="clear" w:color="auto" w:fill="auto"/>
            <w:noWrap/>
            <w:vAlign w:val="bottom"/>
            <w:hideMark/>
          </w:tcPr>
          <w:p w14:paraId="56816252"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249" w:type="dxa"/>
            <w:tcBorders>
              <w:top w:val="nil"/>
              <w:left w:val="nil"/>
              <w:bottom w:val="nil"/>
              <w:right w:val="nil"/>
            </w:tcBorders>
            <w:shd w:val="clear" w:color="auto" w:fill="auto"/>
            <w:noWrap/>
            <w:vAlign w:val="bottom"/>
            <w:hideMark/>
          </w:tcPr>
          <w:p w14:paraId="3CA5C56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249" w:type="dxa"/>
            <w:tcBorders>
              <w:top w:val="nil"/>
              <w:left w:val="nil"/>
              <w:bottom w:val="nil"/>
              <w:right w:val="nil"/>
            </w:tcBorders>
            <w:shd w:val="clear" w:color="auto" w:fill="auto"/>
            <w:noWrap/>
            <w:vAlign w:val="bottom"/>
            <w:hideMark/>
          </w:tcPr>
          <w:p w14:paraId="3E938DB6"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497" w:type="dxa"/>
            <w:tcBorders>
              <w:top w:val="nil"/>
              <w:left w:val="nil"/>
              <w:bottom w:val="nil"/>
              <w:right w:val="nil"/>
            </w:tcBorders>
            <w:shd w:val="clear" w:color="auto" w:fill="auto"/>
            <w:noWrap/>
            <w:vAlign w:val="bottom"/>
            <w:hideMark/>
          </w:tcPr>
          <w:p w14:paraId="3DB051EA"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497" w:type="dxa"/>
            <w:tcBorders>
              <w:top w:val="nil"/>
              <w:left w:val="nil"/>
              <w:bottom w:val="nil"/>
              <w:right w:val="nil"/>
            </w:tcBorders>
            <w:shd w:val="clear" w:color="auto" w:fill="auto"/>
            <w:noWrap/>
            <w:vAlign w:val="bottom"/>
            <w:hideMark/>
          </w:tcPr>
          <w:p w14:paraId="30434CD5"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249" w:type="dxa"/>
            <w:tcBorders>
              <w:top w:val="nil"/>
              <w:left w:val="nil"/>
              <w:bottom w:val="nil"/>
              <w:right w:val="nil"/>
            </w:tcBorders>
            <w:shd w:val="clear" w:color="auto" w:fill="auto"/>
            <w:noWrap/>
            <w:vAlign w:val="bottom"/>
            <w:hideMark/>
          </w:tcPr>
          <w:p w14:paraId="20E7648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r>
      <w:tr w:rsidR="00EE4311" w:rsidRPr="000A585B" w14:paraId="1E08879F" w14:textId="77777777" w:rsidTr="001B73F9">
        <w:trPr>
          <w:trHeight w:val="261"/>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286D09"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Deans</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14:paraId="10EBAA9E"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25%</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14:paraId="3BFD39A7"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25%</w:t>
            </w:r>
          </w:p>
        </w:tc>
        <w:tc>
          <w:tcPr>
            <w:tcW w:w="1497" w:type="dxa"/>
            <w:tcBorders>
              <w:top w:val="single" w:sz="4" w:space="0" w:color="auto"/>
              <w:left w:val="nil"/>
              <w:bottom w:val="single" w:sz="4" w:space="0" w:color="auto"/>
              <w:right w:val="single" w:sz="4" w:space="0" w:color="auto"/>
            </w:tcBorders>
            <w:shd w:val="clear" w:color="auto" w:fill="auto"/>
            <w:noWrap/>
            <w:vAlign w:val="bottom"/>
            <w:hideMark/>
          </w:tcPr>
          <w:p w14:paraId="7C9995BA"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25%</w:t>
            </w:r>
          </w:p>
        </w:tc>
        <w:tc>
          <w:tcPr>
            <w:tcW w:w="1497" w:type="dxa"/>
            <w:tcBorders>
              <w:top w:val="single" w:sz="4" w:space="0" w:color="auto"/>
              <w:left w:val="nil"/>
              <w:bottom w:val="single" w:sz="4" w:space="0" w:color="auto"/>
              <w:right w:val="single" w:sz="4" w:space="0" w:color="auto"/>
            </w:tcBorders>
            <w:shd w:val="clear" w:color="auto" w:fill="auto"/>
            <w:noWrap/>
            <w:vAlign w:val="bottom"/>
            <w:hideMark/>
          </w:tcPr>
          <w:p w14:paraId="2B120D83"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0%</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14:paraId="6E9D27B0"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40%</w:t>
            </w:r>
          </w:p>
        </w:tc>
      </w:tr>
      <w:tr w:rsidR="00EE4311" w:rsidRPr="000A585B" w14:paraId="04FF442E" w14:textId="77777777" w:rsidTr="001B73F9">
        <w:trPr>
          <w:trHeight w:val="261"/>
        </w:trPr>
        <w:tc>
          <w:tcPr>
            <w:tcW w:w="4207" w:type="dxa"/>
            <w:tcBorders>
              <w:top w:val="nil"/>
              <w:left w:val="single" w:sz="4" w:space="0" w:color="auto"/>
              <w:bottom w:val="single" w:sz="4" w:space="0" w:color="auto"/>
              <w:right w:val="single" w:sz="4" w:space="0" w:color="auto"/>
            </w:tcBorders>
            <w:shd w:val="clear" w:color="000000" w:fill="E7E6E6"/>
            <w:noWrap/>
            <w:vAlign w:val="bottom"/>
            <w:hideMark/>
          </w:tcPr>
          <w:p w14:paraId="48479BD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Heads of department</w:t>
            </w:r>
          </w:p>
        </w:tc>
        <w:tc>
          <w:tcPr>
            <w:tcW w:w="1249" w:type="dxa"/>
            <w:tcBorders>
              <w:top w:val="nil"/>
              <w:left w:val="nil"/>
              <w:bottom w:val="single" w:sz="4" w:space="0" w:color="auto"/>
              <w:right w:val="single" w:sz="4" w:space="0" w:color="auto"/>
            </w:tcBorders>
            <w:shd w:val="clear" w:color="000000" w:fill="E7E6E6"/>
            <w:noWrap/>
            <w:vAlign w:val="bottom"/>
            <w:hideMark/>
          </w:tcPr>
          <w:p w14:paraId="7E31EF46"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65%</w:t>
            </w:r>
          </w:p>
        </w:tc>
        <w:tc>
          <w:tcPr>
            <w:tcW w:w="1249" w:type="dxa"/>
            <w:tcBorders>
              <w:top w:val="nil"/>
              <w:left w:val="nil"/>
              <w:bottom w:val="single" w:sz="4" w:space="0" w:color="auto"/>
              <w:right w:val="single" w:sz="4" w:space="0" w:color="auto"/>
            </w:tcBorders>
            <w:shd w:val="clear" w:color="000000" w:fill="E7E6E6"/>
            <w:noWrap/>
            <w:vAlign w:val="bottom"/>
            <w:hideMark/>
          </w:tcPr>
          <w:p w14:paraId="5CB559C6"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68%</w:t>
            </w:r>
          </w:p>
        </w:tc>
        <w:tc>
          <w:tcPr>
            <w:tcW w:w="1497" w:type="dxa"/>
            <w:tcBorders>
              <w:top w:val="nil"/>
              <w:left w:val="nil"/>
              <w:bottom w:val="single" w:sz="4" w:space="0" w:color="auto"/>
              <w:right w:val="single" w:sz="4" w:space="0" w:color="auto"/>
            </w:tcBorders>
            <w:shd w:val="clear" w:color="000000" w:fill="E7E6E6"/>
            <w:noWrap/>
            <w:vAlign w:val="bottom"/>
            <w:hideMark/>
          </w:tcPr>
          <w:p w14:paraId="3441D8D2"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67%</w:t>
            </w:r>
          </w:p>
        </w:tc>
        <w:tc>
          <w:tcPr>
            <w:tcW w:w="1497" w:type="dxa"/>
            <w:tcBorders>
              <w:top w:val="nil"/>
              <w:left w:val="nil"/>
              <w:bottom w:val="single" w:sz="4" w:space="0" w:color="auto"/>
              <w:right w:val="single" w:sz="4" w:space="0" w:color="auto"/>
            </w:tcBorders>
            <w:shd w:val="clear" w:color="000000" w:fill="E7E6E6"/>
            <w:noWrap/>
            <w:vAlign w:val="bottom"/>
            <w:hideMark/>
          </w:tcPr>
          <w:p w14:paraId="5D27CC99"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55%</w:t>
            </w:r>
          </w:p>
        </w:tc>
        <w:tc>
          <w:tcPr>
            <w:tcW w:w="1249" w:type="dxa"/>
            <w:tcBorders>
              <w:top w:val="nil"/>
              <w:left w:val="nil"/>
              <w:bottom w:val="single" w:sz="4" w:space="0" w:color="auto"/>
              <w:right w:val="single" w:sz="4" w:space="0" w:color="auto"/>
            </w:tcBorders>
            <w:shd w:val="clear" w:color="000000" w:fill="E7E6E6"/>
            <w:noWrap/>
            <w:vAlign w:val="bottom"/>
            <w:hideMark/>
          </w:tcPr>
          <w:p w14:paraId="5AE1016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60%</w:t>
            </w:r>
          </w:p>
        </w:tc>
      </w:tr>
      <w:tr w:rsidR="00EE4311" w:rsidRPr="000A585B" w14:paraId="7CA2B491" w14:textId="77777777" w:rsidTr="001B73F9">
        <w:trPr>
          <w:trHeight w:val="261"/>
        </w:trPr>
        <w:tc>
          <w:tcPr>
            <w:tcW w:w="4207" w:type="dxa"/>
            <w:tcBorders>
              <w:top w:val="nil"/>
              <w:left w:val="single" w:sz="4" w:space="0" w:color="auto"/>
              <w:bottom w:val="single" w:sz="4" w:space="0" w:color="auto"/>
              <w:right w:val="single" w:sz="4" w:space="0" w:color="auto"/>
            </w:tcBorders>
            <w:shd w:val="clear" w:color="auto" w:fill="auto"/>
            <w:noWrap/>
            <w:vAlign w:val="bottom"/>
            <w:hideMark/>
          </w:tcPr>
          <w:p w14:paraId="4FE74CEF"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Programme coordinators</w:t>
            </w:r>
          </w:p>
        </w:tc>
        <w:tc>
          <w:tcPr>
            <w:tcW w:w="1249" w:type="dxa"/>
            <w:tcBorders>
              <w:top w:val="nil"/>
              <w:left w:val="nil"/>
              <w:bottom w:val="single" w:sz="4" w:space="0" w:color="auto"/>
              <w:right w:val="single" w:sz="4" w:space="0" w:color="auto"/>
            </w:tcBorders>
            <w:shd w:val="clear" w:color="auto" w:fill="auto"/>
            <w:noWrap/>
            <w:vAlign w:val="bottom"/>
            <w:hideMark/>
          </w:tcPr>
          <w:p w14:paraId="777F5DD0"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80%</w:t>
            </w:r>
          </w:p>
        </w:tc>
        <w:tc>
          <w:tcPr>
            <w:tcW w:w="1249" w:type="dxa"/>
            <w:tcBorders>
              <w:top w:val="nil"/>
              <w:left w:val="nil"/>
              <w:bottom w:val="single" w:sz="4" w:space="0" w:color="auto"/>
              <w:right w:val="single" w:sz="4" w:space="0" w:color="auto"/>
            </w:tcBorders>
            <w:shd w:val="clear" w:color="auto" w:fill="auto"/>
            <w:noWrap/>
            <w:vAlign w:val="bottom"/>
            <w:hideMark/>
          </w:tcPr>
          <w:p w14:paraId="6C3EF177"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84%</w:t>
            </w:r>
          </w:p>
        </w:tc>
        <w:tc>
          <w:tcPr>
            <w:tcW w:w="1497" w:type="dxa"/>
            <w:tcBorders>
              <w:top w:val="nil"/>
              <w:left w:val="nil"/>
              <w:bottom w:val="single" w:sz="4" w:space="0" w:color="auto"/>
              <w:right w:val="single" w:sz="4" w:space="0" w:color="auto"/>
            </w:tcBorders>
            <w:shd w:val="clear" w:color="auto" w:fill="auto"/>
            <w:noWrap/>
            <w:vAlign w:val="bottom"/>
            <w:hideMark/>
          </w:tcPr>
          <w:p w14:paraId="45C25AA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77%</w:t>
            </w:r>
          </w:p>
        </w:tc>
        <w:tc>
          <w:tcPr>
            <w:tcW w:w="1497" w:type="dxa"/>
            <w:tcBorders>
              <w:top w:val="nil"/>
              <w:left w:val="nil"/>
              <w:bottom w:val="single" w:sz="4" w:space="0" w:color="auto"/>
              <w:right w:val="single" w:sz="4" w:space="0" w:color="auto"/>
            </w:tcBorders>
            <w:shd w:val="clear" w:color="auto" w:fill="auto"/>
            <w:noWrap/>
            <w:vAlign w:val="bottom"/>
            <w:hideMark/>
          </w:tcPr>
          <w:p w14:paraId="4C1C1B85"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77%</w:t>
            </w:r>
          </w:p>
        </w:tc>
        <w:tc>
          <w:tcPr>
            <w:tcW w:w="1249" w:type="dxa"/>
            <w:tcBorders>
              <w:top w:val="nil"/>
              <w:left w:val="nil"/>
              <w:bottom w:val="single" w:sz="4" w:space="0" w:color="auto"/>
              <w:right w:val="single" w:sz="4" w:space="0" w:color="auto"/>
            </w:tcBorders>
            <w:shd w:val="clear" w:color="auto" w:fill="auto"/>
            <w:noWrap/>
            <w:vAlign w:val="bottom"/>
            <w:hideMark/>
          </w:tcPr>
          <w:p w14:paraId="6D58A44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75%</w:t>
            </w:r>
          </w:p>
        </w:tc>
      </w:tr>
      <w:tr w:rsidR="00EE4311" w:rsidRPr="000A585B" w14:paraId="42356E01" w14:textId="77777777" w:rsidTr="001B73F9">
        <w:trPr>
          <w:trHeight w:val="261"/>
        </w:trPr>
        <w:tc>
          <w:tcPr>
            <w:tcW w:w="4207" w:type="dxa"/>
            <w:tcBorders>
              <w:top w:val="nil"/>
              <w:left w:val="nil"/>
              <w:bottom w:val="nil"/>
              <w:right w:val="nil"/>
            </w:tcBorders>
            <w:shd w:val="clear" w:color="auto" w:fill="auto"/>
            <w:noWrap/>
            <w:vAlign w:val="bottom"/>
            <w:hideMark/>
          </w:tcPr>
          <w:p w14:paraId="08F6263A"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lang w:eastAsia="nb-NO"/>
              </w:rPr>
            </w:pPr>
          </w:p>
        </w:tc>
        <w:tc>
          <w:tcPr>
            <w:tcW w:w="1249" w:type="dxa"/>
            <w:tcBorders>
              <w:top w:val="nil"/>
              <w:left w:val="nil"/>
              <w:bottom w:val="nil"/>
              <w:right w:val="nil"/>
            </w:tcBorders>
            <w:shd w:val="clear" w:color="auto" w:fill="auto"/>
            <w:noWrap/>
            <w:vAlign w:val="bottom"/>
            <w:hideMark/>
          </w:tcPr>
          <w:p w14:paraId="662522CF"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249" w:type="dxa"/>
            <w:tcBorders>
              <w:top w:val="nil"/>
              <w:left w:val="nil"/>
              <w:bottom w:val="nil"/>
              <w:right w:val="nil"/>
            </w:tcBorders>
            <w:shd w:val="clear" w:color="auto" w:fill="auto"/>
            <w:noWrap/>
            <w:vAlign w:val="bottom"/>
            <w:hideMark/>
          </w:tcPr>
          <w:p w14:paraId="39B551B1"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497" w:type="dxa"/>
            <w:tcBorders>
              <w:top w:val="nil"/>
              <w:left w:val="nil"/>
              <w:bottom w:val="nil"/>
              <w:right w:val="nil"/>
            </w:tcBorders>
            <w:shd w:val="clear" w:color="auto" w:fill="auto"/>
            <w:noWrap/>
            <w:vAlign w:val="bottom"/>
            <w:hideMark/>
          </w:tcPr>
          <w:p w14:paraId="7C0BBBC1"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497" w:type="dxa"/>
            <w:tcBorders>
              <w:top w:val="nil"/>
              <w:left w:val="nil"/>
              <w:bottom w:val="nil"/>
              <w:right w:val="nil"/>
            </w:tcBorders>
            <w:shd w:val="clear" w:color="auto" w:fill="auto"/>
            <w:noWrap/>
            <w:vAlign w:val="bottom"/>
            <w:hideMark/>
          </w:tcPr>
          <w:p w14:paraId="692ECDC0"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249" w:type="dxa"/>
            <w:tcBorders>
              <w:top w:val="nil"/>
              <w:left w:val="nil"/>
              <w:bottom w:val="nil"/>
              <w:right w:val="nil"/>
            </w:tcBorders>
            <w:shd w:val="clear" w:color="auto" w:fill="auto"/>
            <w:noWrap/>
            <w:vAlign w:val="bottom"/>
            <w:hideMark/>
          </w:tcPr>
          <w:p w14:paraId="43983BA8"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r>
      <w:tr w:rsidR="00EE4311" w:rsidRPr="000A585B" w14:paraId="24C4BCC6" w14:textId="77777777" w:rsidTr="001B73F9">
        <w:trPr>
          <w:trHeight w:val="261"/>
        </w:trPr>
        <w:tc>
          <w:tcPr>
            <w:tcW w:w="4207" w:type="dxa"/>
            <w:tcBorders>
              <w:top w:val="nil"/>
              <w:left w:val="nil"/>
              <w:bottom w:val="nil"/>
              <w:right w:val="nil"/>
            </w:tcBorders>
            <w:shd w:val="clear" w:color="auto" w:fill="auto"/>
            <w:noWrap/>
            <w:vAlign w:val="bottom"/>
            <w:hideMark/>
          </w:tcPr>
          <w:p w14:paraId="16C9EB4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249" w:type="dxa"/>
            <w:tcBorders>
              <w:top w:val="nil"/>
              <w:left w:val="nil"/>
              <w:bottom w:val="nil"/>
              <w:right w:val="nil"/>
            </w:tcBorders>
            <w:shd w:val="clear" w:color="auto" w:fill="auto"/>
            <w:noWrap/>
            <w:vAlign w:val="bottom"/>
            <w:hideMark/>
          </w:tcPr>
          <w:p w14:paraId="5B534D71"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249" w:type="dxa"/>
            <w:tcBorders>
              <w:top w:val="nil"/>
              <w:left w:val="nil"/>
              <w:bottom w:val="nil"/>
              <w:right w:val="nil"/>
            </w:tcBorders>
            <w:shd w:val="clear" w:color="auto" w:fill="auto"/>
            <w:noWrap/>
            <w:vAlign w:val="bottom"/>
            <w:hideMark/>
          </w:tcPr>
          <w:p w14:paraId="25CEDBAB"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497" w:type="dxa"/>
            <w:tcBorders>
              <w:top w:val="nil"/>
              <w:left w:val="nil"/>
              <w:bottom w:val="nil"/>
              <w:right w:val="nil"/>
            </w:tcBorders>
            <w:shd w:val="clear" w:color="auto" w:fill="auto"/>
            <w:noWrap/>
            <w:vAlign w:val="bottom"/>
            <w:hideMark/>
          </w:tcPr>
          <w:p w14:paraId="0BCDED0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497" w:type="dxa"/>
            <w:tcBorders>
              <w:top w:val="nil"/>
              <w:left w:val="nil"/>
              <w:bottom w:val="nil"/>
              <w:right w:val="nil"/>
            </w:tcBorders>
            <w:shd w:val="clear" w:color="auto" w:fill="auto"/>
            <w:noWrap/>
            <w:vAlign w:val="bottom"/>
            <w:hideMark/>
          </w:tcPr>
          <w:p w14:paraId="760A6746"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c>
          <w:tcPr>
            <w:tcW w:w="1249" w:type="dxa"/>
            <w:tcBorders>
              <w:top w:val="nil"/>
              <w:left w:val="nil"/>
              <w:bottom w:val="nil"/>
              <w:right w:val="nil"/>
            </w:tcBorders>
            <w:shd w:val="clear" w:color="auto" w:fill="auto"/>
            <w:noWrap/>
            <w:vAlign w:val="bottom"/>
            <w:hideMark/>
          </w:tcPr>
          <w:p w14:paraId="0828EACF"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sz w:val="20"/>
                <w:szCs w:val="20"/>
                <w:bdr w:val="none" w:sz="0" w:space="0" w:color="auto"/>
                <w:lang w:eastAsia="nb-NO"/>
              </w:rPr>
            </w:pPr>
          </w:p>
        </w:tc>
      </w:tr>
      <w:tr w:rsidR="00EE4311" w:rsidRPr="000A585B" w14:paraId="54E5CA71" w14:textId="77777777" w:rsidTr="001B73F9">
        <w:trPr>
          <w:trHeight w:val="261"/>
        </w:trPr>
        <w:tc>
          <w:tcPr>
            <w:tcW w:w="420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ACCE6"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Heads of administrative departments</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14:paraId="29E36CA5"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60%</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14:paraId="14CBCEA9"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58%</w:t>
            </w:r>
          </w:p>
        </w:tc>
        <w:tc>
          <w:tcPr>
            <w:tcW w:w="1497" w:type="dxa"/>
            <w:tcBorders>
              <w:top w:val="single" w:sz="4" w:space="0" w:color="auto"/>
              <w:left w:val="nil"/>
              <w:bottom w:val="single" w:sz="4" w:space="0" w:color="auto"/>
              <w:right w:val="single" w:sz="4" w:space="0" w:color="auto"/>
            </w:tcBorders>
            <w:shd w:val="clear" w:color="auto" w:fill="auto"/>
            <w:noWrap/>
            <w:vAlign w:val="bottom"/>
            <w:hideMark/>
          </w:tcPr>
          <w:p w14:paraId="69C3DF4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57%</w:t>
            </w:r>
          </w:p>
        </w:tc>
        <w:tc>
          <w:tcPr>
            <w:tcW w:w="1497" w:type="dxa"/>
            <w:tcBorders>
              <w:top w:val="single" w:sz="4" w:space="0" w:color="auto"/>
              <w:left w:val="nil"/>
              <w:bottom w:val="single" w:sz="4" w:space="0" w:color="auto"/>
              <w:right w:val="single" w:sz="4" w:space="0" w:color="auto"/>
            </w:tcBorders>
            <w:shd w:val="clear" w:color="auto" w:fill="auto"/>
            <w:noWrap/>
            <w:vAlign w:val="bottom"/>
            <w:hideMark/>
          </w:tcPr>
          <w:p w14:paraId="1A59248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67%</w:t>
            </w:r>
          </w:p>
        </w:tc>
        <w:tc>
          <w:tcPr>
            <w:tcW w:w="1249" w:type="dxa"/>
            <w:tcBorders>
              <w:top w:val="single" w:sz="4" w:space="0" w:color="auto"/>
              <w:left w:val="nil"/>
              <w:bottom w:val="single" w:sz="4" w:space="0" w:color="auto"/>
              <w:right w:val="single" w:sz="4" w:space="0" w:color="auto"/>
            </w:tcBorders>
            <w:shd w:val="clear" w:color="auto" w:fill="auto"/>
            <w:noWrap/>
            <w:vAlign w:val="bottom"/>
            <w:hideMark/>
          </w:tcPr>
          <w:p w14:paraId="68DBD776"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67%</w:t>
            </w:r>
          </w:p>
        </w:tc>
      </w:tr>
      <w:tr w:rsidR="00EE4311" w:rsidRPr="000A585B" w14:paraId="1C73BB00" w14:textId="77777777" w:rsidTr="001B73F9">
        <w:trPr>
          <w:trHeight w:val="261"/>
        </w:trPr>
        <w:tc>
          <w:tcPr>
            <w:tcW w:w="4207" w:type="dxa"/>
            <w:tcBorders>
              <w:top w:val="nil"/>
              <w:left w:val="single" w:sz="4" w:space="0" w:color="auto"/>
              <w:bottom w:val="single" w:sz="4" w:space="0" w:color="auto"/>
              <w:right w:val="single" w:sz="4" w:space="0" w:color="auto"/>
            </w:tcBorders>
            <w:shd w:val="clear" w:color="000000" w:fill="E7E6E6"/>
            <w:noWrap/>
            <w:vAlign w:val="bottom"/>
            <w:hideMark/>
          </w:tcPr>
          <w:p w14:paraId="0E944591"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Heads of section</w:t>
            </w:r>
          </w:p>
        </w:tc>
        <w:tc>
          <w:tcPr>
            <w:tcW w:w="1249" w:type="dxa"/>
            <w:tcBorders>
              <w:top w:val="nil"/>
              <w:left w:val="nil"/>
              <w:bottom w:val="single" w:sz="4" w:space="0" w:color="auto"/>
              <w:right w:val="single" w:sz="4" w:space="0" w:color="auto"/>
            </w:tcBorders>
            <w:shd w:val="clear" w:color="000000" w:fill="E7E6E6"/>
            <w:noWrap/>
            <w:vAlign w:val="bottom"/>
            <w:hideMark/>
          </w:tcPr>
          <w:p w14:paraId="693D9075"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68%</w:t>
            </w:r>
          </w:p>
        </w:tc>
        <w:tc>
          <w:tcPr>
            <w:tcW w:w="1249" w:type="dxa"/>
            <w:tcBorders>
              <w:top w:val="nil"/>
              <w:left w:val="nil"/>
              <w:bottom w:val="single" w:sz="4" w:space="0" w:color="auto"/>
              <w:right w:val="single" w:sz="4" w:space="0" w:color="auto"/>
            </w:tcBorders>
            <w:shd w:val="clear" w:color="000000" w:fill="E7E6E6"/>
            <w:noWrap/>
            <w:vAlign w:val="bottom"/>
            <w:hideMark/>
          </w:tcPr>
          <w:p w14:paraId="79DBCEF6"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64%</w:t>
            </w:r>
          </w:p>
        </w:tc>
        <w:tc>
          <w:tcPr>
            <w:tcW w:w="1497" w:type="dxa"/>
            <w:tcBorders>
              <w:top w:val="nil"/>
              <w:left w:val="nil"/>
              <w:bottom w:val="single" w:sz="4" w:space="0" w:color="auto"/>
              <w:right w:val="single" w:sz="4" w:space="0" w:color="auto"/>
            </w:tcBorders>
            <w:shd w:val="clear" w:color="000000" w:fill="E7E6E6"/>
            <w:noWrap/>
            <w:vAlign w:val="bottom"/>
            <w:hideMark/>
          </w:tcPr>
          <w:p w14:paraId="009FBA3E"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71%</w:t>
            </w:r>
          </w:p>
        </w:tc>
        <w:tc>
          <w:tcPr>
            <w:tcW w:w="1497" w:type="dxa"/>
            <w:tcBorders>
              <w:top w:val="nil"/>
              <w:left w:val="nil"/>
              <w:bottom w:val="single" w:sz="4" w:space="0" w:color="auto"/>
              <w:right w:val="single" w:sz="4" w:space="0" w:color="auto"/>
            </w:tcBorders>
            <w:shd w:val="clear" w:color="000000" w:fill="E7E6E6"/>
            <w:noWrap/>
            <w:vAlign w:val="bottom"/>
            <w:hideMark/>
          </w:tcPr>
          <w:p w14:paraId="0AB88E3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64%</w:t>
            </w:r>
          </w:p>
        </w:tc>
        <w:tc>
          <w:tcPr>
            <w:tcW w:w="1249" w:type="dxa"/>
            <w:tcBorders>
              <w:top w:val="nil"/>
              <w:left w:val="nil"/>
              <w:bottom w:val="single" w:sz="4" w:space="0" w:color="auto"/>
              <w:right w:val="single" w:sz="4" w:space="0" w:color="auto"/>
            </w:tcBorders>
            <w:shd w:val="clear" w:color="000000" w:fill="E7E6E6"/>
            <w:noWrap/>
            <w:vAlign w:val="bottom"/>
            <w:hideMark/>
          </w:tcPr>
          <w:p w14:paraId="653424C6"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65%</w:t>
            </w:r>
          </w:p>
        </w:tc>
      </w:tr>
      <w:tr w:rsidR="00EE4311" w:rsidRPr="000A585B" w14:paraId="5292090A" w14:textId="77777777" w:rsidTr="001B73F9">
        <w:trPr>
          <w:trHeight w:val="261"/>
        </w:trPr>
        <w:tc>
          <w:tcPr>
            <w:tcW w:w="4207" w:type="dxa"/>
            <w:tcBorders>
              <w:top w:val="nil"/>
              <w:left w:val="single" w:sz="4" w:space="0" w:color="auto"/>
              <w:bottom w:val="single" w:sz="4" w:space="0" w:color="auto"/>
              <w:right w:val="single" w:sz="4" w:space="0" w:color="auto"/>
            </w:tcBorders>
            <w:shd w:val="clear" w:color="auto" w:fill="auto"/>
            <w:noWrap/>
            <w:vAlign w:val="bottom"/>
            <w:hideMark/>
          </w:tcPr>
          <w:p w14:paraId="1ED9C2E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Senior advisers</w:t>
            </w:r>
          </w:p>
        </w:tc>
        <w:tc>
          <w:tcPr>
            <w:tcW w:w="1249" w:type="dxa"/>
            <w:tcBorders>
              <w:top w:val="nil"/>
              <w:left w:val="nil"/>
              <w:bottom w:val="single" w:sz="4" w:space="0" w:color="auto"/>
              <w:right w:val="single" w:sz="4" w:space="0" w:color="auto"/>
            </w:tcBorders>
            <w:shd w:val="clear" w:color="auto" w:fill="auto"/>
            <w:noWrap/>
            <w:vAlign w:val="bottom"/>
            <w:hideMark/>
          </w:tcPr>
          <w:p w14:paraId="23179BFF"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74%</w:t>
            </w:r>
          </w:p>
        </w:tc>
        <w:tc>
          <w:tcPr>
            <w:tcW w:w="1249" w:type="dxa"/>
            <w:tcBorders>
              <w:top w:val="nil"/>
              <w:left w:val="nil"/>
              <w:bottom w:val="single" w:sz="4" w:space="0" w:color="auto"/>
              <w:right w:val="single" w:sz="4" w:space="0" w:color="auto"/>
            </w:tcBorders>
            <w:shd w:val="clear" w:color="auto" w:fill="auto"/>
            <w:noWrap/>
            <w:vAlign w:val="bottom"/>
            <w:hideMark/>
          </w:tcPr>
          <w:p w14:paraId="5BC84B52"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75%</w:t>
            </w:r>
          </w:p>
        </w:tc>
        <w:tc>
          <w:tcPr>
            <w:tcW w:w="1497" w:type="dxa"/>
            <w:tcBorders>
              <w:top w:val="nil"/>
              <w:left w:val="nil"/>
              <w:bottom w:val="single" w:sz="4" w:space="0" w:color="auto"/>
              <w:right w:val="single" w:sz="4" w:space="0" w:color="auto"/>
            </w:tcBorders>
            <w:shd w:val="clear" w:color="auto" w:fill="auto"/>
            <w:noWrap/>
            <w:vAlign w:val="bottom"/>
            <w:hideMark/>
          </w:tcPr>
          <w:p w14:paraId="2DFE5FC8"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71%</w:t>
            </w:r>
          </w:p>
        </w:tc>
        <w:tc>
          <w:tcPr>
            <w:tcW w:w="1497" w:type="dxa"/>
            <w:tcBorders>
              <w:top w:val="nil"/>
              <w:left w:val="nil"/>
              <w:bottom w:val="single" w:sz="4" w:space="0" w:color="auto"/>
              <w:right w:val="single" w:sz="4" w:space="0" w:color="auto"/>
            </w:tcBorders>
            <w:shd w:val="clear" w:color="auto" w:fill="auto"/>
            <w:noWrap/>
            <w:vAlign w:val="bottom"/>
            <w:hideMark/>
          </w:tcPr>
          <w:p w14:paraId="12AD511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70%</w:t>
            </w:r>
          </w:p>
        </w:tc>
        <w:tc>
          <w:tcPr>
            <w:tcW w:w="1249" w:type="dxa"/>
            <w:tcBorders>
              <w:top w:val="nil"/>
              <w:left w:val="nil"/>
              <w:bottom w:val="single" w:sz="4" w:space="0" w:color="auto"/>
              <w:right w:val="single" w:sz="4" w:space="0" w:color="auto"/>
            </w:tcBorders>
            <w:shd w:val="clear" w:color="auto" w:fill="auto"/>
            <w:noWrap/>
            <w:vAlign w:val="bottom"/>
            <w:hideMark/>
          </w:tcPr>
          <w:p w14:paraId="1E0C2271"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68%</w:t>
            </w:r>
          </w:p>
        </w:tc>
      </w:tr>
      <w:tr w:rsidR="00EE4311" w:rsidRPr="000A585B" w14:paraId="09DDABD8" w14:textId="77777777" w:rsidTr="001B73F9">
        <w:trPr>
          <w:trHeight w:val="261"/>
        </w:trPr>
        <w:tc>
          <w:tcPr>
            <w:tcW w:w="4207" w:type="dxa"/>
            <w:tcBorders>
              <w:top w:val="nil"/>
              <w:left w:val="single" w:sz="4" w:space="0" w:color="auto"/>
              <w:bottom w:val="single" w:sz="4" w:space="0" w:color="auto"/>
              <w:right w:val="single" w:sz="4" w:space="0" w:color="auto"/>
            </w:tcBorders>
            <w:shd w:val="clear" w:color="000000" w:fill="E7E6E6"/>
            <w:noWrap/>
            <w:vAlign w:val="bottom"/>
            <w:hideMark/>
          </w:tcPr>
          <w:p w14:paraId="4771A31E"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Advisers</w:t>
            </w:r>
          </w:p>
        </w:tc>
        <w:tc>
          <w:tcPr>
            <w:tcW w:w="1249" w:type="dxa"/>
            <w:tcBorders>
              <w:top w:val="nil"/>
              <w:left w:val="nil"/>
              <w:bottom w:val="single" w:sz="4" w:space="0" w:color="auto"/>
              <w:right w:val="single" w:sz="4" w:space="0" w:color="auto"/>
            </w:tcBorders>
            <w:shd w:val="clear" w:color="000000" w:fill="E7E6E6"/>
            <w:noWrap/>
            <w:vAlign w:val="bottom"/>
            <w:hideMark/>
          </w:tcPr>
          <w:p w14:paraId="6D8B919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69%</w:t>
            </w:r>
          </w:p>
        </w:tc>
        <w:tc>
          <w:tcPr>
            <w:tcW w:w="1249" w:type="dxa"/>
            <w:tcBorders>
              <w:top w:val="nil"/>
              <w:left w:val="nil"/>
              <w:bottom w:val="single" w:sz="4" w:space="0" w:color="auto"/>
              <w:right w:val="single" w:sz="4" w:space="0" w:color="auto"/>
            </w:tcBorders>
            <w:shd w:val="clear" w:color="000000" w:fill="E7E6E6"/>
            <w:noWrap/>
            <w:vAlign w:val="bottom"/>
            <w:hideMark/>
          </w:tcPr>
          <w:p w14:paraId="1E5DF41A"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68%</w:t>
            </w:r>
          </w:p>
        </w:tc>
        <w:tc>
          <w:tcPr>
            <w:tcW w:w="1497" w:type="dxa"/>
            <w:tcBorders>
              <w:top w:val="nil"/>
              <w:left w:val="nil"/>
              <w:bottom w:val="single" w:sz="4" w:space="0" w:color="auto"/>
              <w:right w:val="single" w:sz="4" w:space="0" w:color="auto"/>
            </w:tcBorders>
            <w:shd w:val="clear" w:color="000000" w:fill="E7E6E6"/>
            <w:noWrap/>
            <w:vAlign w:val="bottom"/>
            <w:hideMark/>
          </w:tcPr>
          <w:p w14:paraId="156A489D"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68%</w:t>
            </w:r>
          </w:p>
        </w:tc>
        <w:tc>
          <w:tcPr>
            <w:tcW w:w="1497" w:type="dxa"/>
            <w:tcBorders>
              <w:top w:val="nil"/>
              <w:left w:val="nil"/>
              <w:bottom w:val="single" w:sz="4" w:space="0" w:color="auto"/>
              <w:right w:val="single" w:sz="4" w:space="0" w:color="auto"/>
            </w:tcBorders>
            <w:shd w:val="clear" w:color="000000" w:fill="E7E6E6"/>
            <w:noWrap/>
            <w:vAlign w:val="bottom"/>
            <w:hideMark/>
          </w:tcPr>
          <w:p w14:paraId="2970673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71%</w:t>
            </w:r>
          </w:p>
        </w:tc>
        <w:tc>
          <w:tcPr>
            <w:tcW w:w="1249" w:type="dxa"/>
            <w:tcBorders>
              <w:top w:val="nil"/>
              <w:left w:val="nil"/>
              <w:bottom w:val="single" w:sz="4" w:space="0" w:color="auto"/>
              <w:right w:val="single" w:sz="4" w:space="0" w:color="auto"/>
            </w:tcBorders>
            <w:shd w:val="clear" w:color="000000" w:fill="E7E6E6"/>
            <w:noWrap/>
            <w:vAlign w:val="bottom"/>
            <w:hideMark/>
          </w:tcPr>
          <w:p w14:paraId="5835251D"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72%</w:t>
            </w:r>
          </w:p>
        </w:tc>
      </w:tr>
      <w:tr w:rsidR="00EE4311" w:rsidRPr="000A585B" w14:paraId="40748898" w14:textId="77777777" w:rsidTr="001B73F9">
        <w:trPr>
          <w:trHeight w:val="261"/>
        </w:trPr>
        <w:tc>
          <w:tcPr>
            <w:tcW w:w="4207" w:type="dxa"/>
            <w:tcBorders>
              <w:top w:val="nil"/>
              <w:left w:val="single" w:sz="4" w:space="0" w:color="auto"/>
              <w:bottom w:val="single" w:sz="4" w:space="0" w:color="auto"/>
              <w:right w:val="single" w:sz="4" w:space="0" w:color="auto"/>
            </w:tcBorders>
            <w:shd w:val="clear" w:color="auto" w:fill="auto"/>
            <w:noWrap/>
            <w:vAlign w:val="bottom"/>
            <w:hideMark/>
          </w:tcPr>
          <w:p w14:paraId="18163CF0"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Executive officers</w:t>
            </w:r>
          </w:p>
        </w:tc>
        <w:tc>
          <w:tcPr>
            <w:tcW w:w="1249" w:type="dxa"/>
            <w:tcBorders>
              <w:top w:val="nil"/>
              <w:left w:val="nil"/>
              <w:bottom w:val="single" w:sz="4" w:space="0" w:color="auto"/>
              <w:right w:val="single" w:sz="4" w:space="0" w:color="auto"/>
            </w:tcBorders>
            <w:shd w:val="clear" w:color="auto" w:fill="auto"/>
            <w:noWrap/>
            <w:vAlign w:val="bottom"/>
            <w:hideMark/>
          </w:tcPr>
          <w:p w14:paraId="282C70E5"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79%</w:t>
            </w:r>
          </w:p>
        </w:tc>
        <w:tc>
          <w:tcPr>
            <w:tcW w:w="1249" w:type="dxa"/>
            <w:tcBorders>
              <w:top w:val="nil"/>
              <w:left w:val="nil"/>
              <w:bottom w:val="single" w:sz="4" w:space="0" w:color="auto"/>
              <w:right w:val="single" w:sz="4" w:space="0" w:color="auto"/>
            </w:tcBorders>
            <w:shd w:val="clear" w:color="auto" w:fill="auto"/>
            <w:noWrap/>
            <w:vAlign w:val="bottom"/>
            <w:hideMark/>
          </w:tcPr>
          <w:p w14:paraId="4BF3D363"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73%</w:t>
            </w:r>
          </w:p>
        </w:tc>
        <w:tc>
          <w:tcPr>
            <w:tcW w:w="1497" w:type="dxa"/>
            <w:tcBorders>
              <w:top w:val="nil"/>
              <w:left w:val="nil"/>
              <w:bottom w:val="single" w:sz="4" w:space="0" w:color="auto"/>
              <w:right w:val="single" w:sz="4" w:space="0" w:color="auto"/>
            </w:tcBorders>
            <w:shd w:val="clear" w:color="auto" w:fill="auto"/>
            <w:noWrap/>
            <w:vAlign w:val="bottom"/>
            <w:hideMark/>
          </w:tcPr>
          <w:p w14:paraId="640160C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78%</w:t>
            </w:r>
          </w:p>
        </w:tc>
        <w:tc>
          <w:tcPr>
            <w:tcW w:w="1497" w:type="dxa"/>
            <w:tcBorders>
              <w:top w:val="nil"/>
              <w:left w:val="nil"/>
              <w:bottom w:val="single" w:sz="4" w:space="0" w:color="auto"/>
              <w:right w:val="single" w:sz="4" w:space="0" w:color="auto"/>
            </w:tcBorders>
            <w:shd w:val="clear" w:color="auto" w:fill="auto"/>
            <w:noWrap/>
            <w:vAlign w:val="bottom"/>
            <w:hideMark/>
          </w:tcPr>
          <w:p w14:paraId="23EA3D4F"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42%</w:t>
            </w:r>
          </w:p>
        </w:tc>
        <w:tc>
          <w:tcPr>
            <w:tcW w:w="1249" w:type="dxa"/>
            <w:tcBorders>
              <w:top w:val="nil"/>
              <w:left w:val="nil"/>
              <w:bottom w:val="single" w:sz="4" w:space="0" w:color="auto"/>
              <w:right w:val="single" w:sz="4" w:space="0" w:color="auto"/>
            </w:tcBorders>
            <w:shd w:val="clear" w:color="auto" w:fill="auto"/>
            <w:noWrap/>
            <w:vAlign w:val="bottom"/>
            <w:hideMark/>
          </w:tcPr>
          <w:p w14:paraId="6C3ECE12"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67%</w:t>
            </w:r>
          </w:p>
        </w:tc>
      </w:tr>
      <w:tr w:rsidR="00EE4311" w:rsidRPr="000A585B" w14:paraId="4BA76D4D" w14:textId="77777777" w:rsidTr="001B73F9">
        <w:trPr>
          <w:trHeight w:val="261"/>
        </w:trPr>
        <w:tc>
          <w:tcPr>
            <w:tcW w:w="4207" w:type="dxa"/>
            <w:tcBorders>
              <w:top w:val="nil"/>
              <w:left w:val="single" w:sz="4" w:space="0" w:color="auto"/>
              <w:bottom w:val="single" w:sz="4" w:space="0" w:color="auto"/>
              <w:right w:val="single" w:sz="4" w:space="0" w:color="auto"/>
            </w:tcBorders>
            <w:shd w:val="clear" w:color="auto" w:fill="auto"/>
            <w:noWrap/>
            <w:vAlign w:val="bottom"/>
            <w:hideMark/>
          </w:tcPr>
          <w:p w14:paraId="51A8F307"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Senior clerical officers</w:t>
            </w:r>
          </w:p>
        </w:tc>
        <w:tc>
          <w:tcPr>
            <w:tcW w:w="1249" w:type="dxa"/>
            <w:tcBorders>
              <w:top w:val="nil"/>
              <w:left w:val="nil"/>
              <w:bottom w:val="single" w:sz="4" w:space="0" w:color="auto"/>
              <w:right w:val="single" w:sz="4" w:space="0" w:color="auto"/>
            </w:tcBorders>
            <w:shd w:val="clear" w:color="auto" w:fill="auto"/>
            <w:noWrap/>
            <w:vAlign w:val="bottom"/>
            <w:hideMark/>
          </w:tcPr>
          <w:p w14:paraId="59803C24"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0%</w:t>
            </w:r>
          </w:p>
        </w:tc>
        <w:tc>
          <w:tcPr>
            <w:tcW w:w="1249" w:type="dxa"/>
            <w:tcBorders>
              <w:top w:val="nil"/>
              <w:left w:val="nil"/>
              <w:bottom w:val="single" w:sz="4" w:space="0" w:color="auto"/>
              <w:right w:val="single" w:sz="4" w:space="0" w:color="auto"/>
            </w:tcBorders>
            <w:shd w:val="clear" w:color="auto" w:fill="auto"/>
            <w:noWrap/>
            <w:vAlign w:val="bottom"/>
            <w:hideMark/>
          </w:tcPr>
          <w:p w14:paraId="279020CC"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0%</w:t>
            </w:r>
          </w:p>
        </w:tc>
        <w:tc>
          <w:tcPr>
            <w:tcW w:w="1497" w:type="dxa"/>
            <w:tcBorders>
              <w:top w:val="nil"/>
              <w:left w:val="nil"/>
              <w:bottom w:val="single" w:sz="4" w:space="0" w:color="auto"/>
              <w:right w:val="single" w:sz="4" w:space="0" w:color="auto"/>
            </w:tcBorders>
            <w:shd w:val="clear" w:color="auto" w:fill="auto"/>
            <w:noWrap/>
            <w:vAlign w:val="bottom"/>
            <w:hideMark/>
          </w:tcPr>
          <w:p w14:paraId="5F470547"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100%</w:t>
            </w:r>
          </w:p>
        </w:tc>
        <w:tc>
          <w:tcPr>
            <w:tcW w:w="1497" w:type="dxa"/>
            <w:tcBorders>
              <w:top w:val="nil"/>
              <w:left w:val="nil"/>
              <w:bottom w:val="single" w:sz="4" w:space="0" w:color="auto"/>
              <w:right w:val="single" w:sz="4" w:space="0" w:color="auto"/>
            </w:tcBorders>
            <w:shd w:val="clear" w:color="auto" w:fill="auto"/>
            <w:noWrap/>
            <w:vAlign w:val="bottom"/>
            <w:hideMark/>
          </w:tcPr>
          <w:p w14:paraId="42A26676"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100%</w:t>
            </w:r>
          </w:p>
        </w:tc>
        <w:tc>
          <w:tcPr>
            <w:tcW w:w="1249" w:type="dxa"/>
            <w:tcBorders>
              <w:top w:val="nil"/>
              <w:left w:val="nil"/>
              <w:bottom w:val="single" w:sz="4" w:space="0" w:color="auto"/>
              <w:right w:val="single" w:sz="4" w:space="0" w:color="auto"/>
            </w:tcBorders>
            <w:shd w:val="clear" w:color="auto" w:fill="auto"/>
            <w:noWrap/>
            <w:vAlign w:val="bottom"/>
            <w:hideMark/>
          </w:tcPr>
          <w:p w14:paraId="6B418565" w14:textId="77777777" w:rsidR="00EE4311" w:rsidRPr="000A585B" w:rsidRDefault="00EE4311" w:rsidP="00EE4311">
            <w:pPr>
              <w:pBdr>
                <w:top w:val="none" w:sz="0" w:space="0" w:color="auto"/>
                <w:left w:val="none" w:sz="0" w:space="0" w:color="auto"/>
                <w:bottom w:val="none" w:sz="0" w:space="0" w:color="auto"/>
                <w:right w:val="none" w:sz="0" w:space="0" w:color="auto"/>
                <w:between w:val="none" w:sz="0" w:space="0" w:color="auto"/>
                <w:bar w:val="none" w:sz="0" w:color="auto"/>
              </w:pBdr>
              <w:jc w:val="right"/>
              <w:rPr>
                <w:rFonts w:ascii="Calibri" w:eastAsia="Times New Roman" w:hAnsi="Calibri"/>
                <w:color w:val="000000"/>
                <w:sz w:val="20"/>
                <w:szCs w:val="20"/>
                <w:bdr w:val="none" w:sz="0" w:space="0" w:color="auto"/>
              </w:rPr>
            </w:pPr>
            <w:r>
              <w:rPr>
                <w:rFonts w:ascii="Calibri" w:hAnsi="Calibri"/>
                <w:color w:val="000000"/>
                <w:sz w:val="20"/>
                <w:szCs w:val="20"/>
                <w:bdr w:val="none" w:sz="0" w:space="0" w:color="auto"/>
              </w:rPr>
              <w:t>54%</w:t>
            </w:r>
          </w:p>
        </w:tc>
      </w:tr>
    </w:tbl>
    <w:p w14:paraId="40EA2D4D" w14:textId="77777777" w:rsidR="00EE4311" w:rsidRDefault="00EE4311" w:rsidP="001B73F9">
      <w:pPr>
        <w:spacing w:line="276" w:lineRule="auto"/>
        <w:rPr>
          <w:rFonts w:ascii="Calibri" w:hAnsi="Calibri"/>
        </w:rPr>
      </w:pPr>
    </w:p>
    <w:p w14:paraId="297CB855" w14:textId="5BACB7DB" w:rsidR="00EE4311" w:rsidRPr="0098031C" w:rsidRDefault="00DB320D" w:rsidP="001B73F9">
      <w:pPr>
        <w:spacing w:line="276" w:lineRule="auto"/>
        <w:rPr>
          <w:rFonts w:ascii="Calibri" w:hAnsi="Calibri"/>
          <w:sz w:val="22"/>
          <w:szCs w:val="22"/>
        </w:rPr>
      </w:pPr>
      <w:r>
        <w:rPr>
          <w:rFonts w:ascii="Calibri" w:hAnsi="Calibri"/>
          <w:sz w:val="22"/>
          <w:szCs w:val="22"/>
        </w:rPr>
        <w:t xml:space="preserve">The gender balance has remained relatively stable over the past five years for all teaching and research (TR) job categories with the exception of </w:t>
      </w:r>
      <w:proofErr w:type="spellStart"/>
      <w:r>
        <w:rPr>
          <w:rFonts w:ascii="Calibri" w:hAnsi="Calibri"/>
          <w:i/>
          <w:sz w:val="22"/>
          <w:szCs w:val="22"/>
        </w:rPr>
        <w:t>dosent</w:t>
      </w:r>
      <w:proofErr w:type="spellEnd"/>
      <w:r>
        <w:rPr>
          <w:rFonts w:ascii="Calibri" w:hAnsi="Calibri"/>
          <w:sz w:val="22"/>
          <w:szCs w:val="22"/>
        </w:rPr>
        <w:t xml:space="preserve"> professors. The dramatic change in this category from 2014 to 2015 can be explained by the fact that this is a relatively small group, so that small changes account for big percentages. The gender balance in PhD research fellowships has improved somewhat, but this development is not reflected in the top academic positions. We also see that women are overrepresented in job categories that do not require a PhD, except for </w:t>
      </w:r>
      <w:proofErr w:type="spellStart"/>
      <w:r>
        <w:rPr>
          <w:rFonts w:ascii="Calibri" w:hAnsi="Calibri"/>
          <w:i/>
          <w:sz w:val="22"/>
          <w:szCs w:val="22"/>
        </w:rPr>
        <w:t>dosent</w:t>
      </w:r>
      <w:proofErr w:type="spellEnd"/>
      <w:r>
        <w:rPr>
          <w:rFonts w:ascii="Calibri" w:hAnsi="Calibri"/>
          <w:sz w:val="22"/>
          <w:szCs w:val="22"/>
        </w:rPr>
        <w:t xml:space="preserve"> professor positions. The latter shows a positive development, but active efforts can still be made to encourage women to apply for promotion from associate professor to </w:t>
      </w:r>
      <w:proofErr w:type="spellStart"/>
      <w:r>
        <w:rPr>
          <w:rFonts w:ascii="Calibri" w:hAnsi="Calibri"/>
          <w:i/>
          <w:sz w:val="22"/>
          <w:szCs w:val="22"/>
        </w:rPr>
        <w:t>dosent</w:t>
      </w:r>
      <w:proofErr w:type="spellEnd"/>
      <w:r>
        <w:rPr>
          <w:rFonts w:ascii="Calibri" w:hAnsi="Calibri"/>
          <w:sz w:val="22"/>
          <w:szCs w:val="22"/>
        </w:rPr>
        <w:t xml:space="preserve"> professor.</w:t>
      </w:r>
    </w:p>
    <w:p w14:paraId="1D496972" w14:textId="77777777" w:rsidR="00EE4311" w:rsidRPr="0098031C" w:rsidRDefault="00EE4311" w:rsidP="001B73F9">
      <w:pPr>
        <w:spacing w:line="276" w:lineRule="auto"/>
        <w:rPr>
          <w:rFonts w:ascii="Calibri" w:hAnsi="Calibri"/>
          <w:sz w:val="22"/>
          <w:szCs w:val="22"/>
        </w:rPr>
      </w:pPr>
    </w:p>
    <w:p w14:paraId="22E2CFCF" w14:textId="77777777" w:rsidR="00123766" w:rsidRDefault="00B869BD" w:rsidP="001B73F9">
      <w:pPr>
        <w:spacing w:line="276" w:lineRule="auto"/>
        <w:rPr>
          <w:rFonts w:ascii="Calibri" w:hAnsi="Calibri"/>
          <w:sz w:val="22"/>
          <w:szCs w:val="22"/>
        </w:rPr>
      </w:pPr>
      <w:r>
        <w:rPr>
          <w:rFonts w:ascii="Calibri" w:hAnsi="Calibri"/>
          <w:sz w:val="22"/>
          <w:szCs w:val="22"/>
        </w:rPr>
        <w:t>The situation for academic administrative positions is similar to that for TR positions, with a predominance of women at lower levels, while women are under-represented at the top level. The gender balance is also skewed for TR positions, with a clear predominance of women. Here we see the same imbalance from recruitment to top positions, however.</w:t>
      </w:r>
    </w:p>
    <w:p w14:paraId="0A46E54D" w14:textId="77777777" w:rsidR="00123766" w:rsidRDefault="00123766" w:rsidP="001B73F9">
      <w:pPr>
        <w:spacing w:line="276" w:lineRule="auto"/>
        <w:rPr>
          <w:rFonts w:ascii="Calibri" w:hAnsi="Calibri"/>
          <w:sz w:val="22"/>
          <w:szCs w:val="22"/>
        </w:rPr>
      </w:pPr>
    </w:p>
    <w:p w14:paraId="1C969AEF" w14:textId="28E52C91" w:rsidR="001B73F9" w:rsidRDefault="006E25CA" w:rsidP="001B73F9">
      <w:pPr>
        <w:spacing w:line="276" w:lineRule="auto"/>
        <w:rPr>
          <w:rFonts w:ascii="Calibri" w:hAnsi="Calibri"/>
          <w:sz w:val="22"/>
          <w:szCs w:val="22"/>
        </w:rPr>
      </w:pPr>
      <w:r>
        <w:rPr>
          <w:rFonts w:ascii="Calibri" w:hAnsi="Calibri"/>
          <w:sz w:val="22"/>
          <w:szCs w:val="22"/>
        </w:rPr>
        <w:t>Women account for 66.3% of the total number of full-time equivalents. There is also gender imbalance in the student body, with 69.9% women (</w:t>
      </w:r>
      <w:proofErr w:type="spellStart"/>
      <w:r>
        <w:rPr>
          <w:rFonts w:ascii="Calibri" w:hAnsi="Calibri"/>
          <w:sz w:val="22"/>
          <w:szCs w:val="22"/>
        </w:rPr>
        <w:t>HiOA’s</w:t>
      </w:r>
      <w:proofErr w:type="spellEnd"/>
      <w:r>
        <w:rPr>
          <w:rFonts w:ascii="Calibri" w:hAnsi="Calibri"/>
          <w:sz w:val="22"/>
          <w:szCs w:val="22"/>
        </w:rPr>
        <w:t xml:space="preserve"> annual report, 2015). It is a goal for </w:t>
      </w:r>
      <w:proofErr w:type="spellStart"/>
      <w:r>
        <w:rPr>
          <w:rFonts w:ascii="Calibri" w:hAnsi="Calibri"/>
          <w:sz w:val="22"/>
          <w:szCs w:val="22"/>
        </w:rPr>
        <w:t>HiOA</w:t>
      </w:r>
      <w:proofErr w:type="spellEnd"/>
      <w:r>
        <w:rPr>
          <w:rFonts w:ascii="Calibri" w:hAnsi="Calibri"/>
          <w:sz w:val="22"/>
          <w:szCs w:val="22"/>
        </w:rPr>
        <w:t xml:space="preserve"> to have a good gender balance in all job categories and in the student body. </w:t>
      </w:r>
      <w:proofErr w:type="spellStart"/>
      <w:r>
        <w:rPr>
          <w:rFonts w:ascii="Calibri" w:hAnsi="Calibri"/>
          <w:sz w:val="22"/>
          <w:szCs w:val="22"/>
        </w:rPr>
        <w:t>HiOA’s</w:t>
      </w:r>
      <w:proofErr w:type="spellEnd"/>
      <w:r>
        <w:rPr>
          <w:rFonts w:ascii="Calibri" w:hAnsi="Calibri"/>
          <w:sz w:val="22"/>
          <w:szCs w:val="22"/>
        </w:rPr>
        <w:t xml:space="preserve"> expanded recruitment team therefore reviewed the recruitment procedures during the last plan period in order to identify challenges relating to gender balance, among other things. The Department of Human Resources has also received training in recruiting diversity. Various measures are also implemented by the faculties to counteract gender imbalance at programme level, but the overall impression is that it is difficult to measure the direct effect of these measures. </w:t>
      </w:r>
    </w:p>
    <w:p w14:paraId="756DA116" w14:textId="77777777" w:rsidR="001B73F9" w:rsidRDefault="001B73F9" w:rsidP="001B73F9">
      <w:pPr>
        <w:spacing w:line="276" w:lineRule="auto"/>
        <w:rPr>
          <w:rFonts w:ascii="Calibri" w:hAnsi="Calibri"/>
          <w:sz w:val="22"/>
          <w:szCs w:val="22"/>
        </w:rPr>
      </w:pPr>
    </w:p>
    <w:p w14:paraId="2792083F" w14:textId="4269B4C2" w:rsidR="002B0009" w:rsidRDefault="00767E0B" w:rsidP="004C56F4">
      <w:pPr>
        <w:spacing w:line="276" w:lineRule="auto"/>
        <w:rPr>
          <w:rFonts w:cstheme="minorHAnsi"/>
          <w:sz w:val="26"/>
          <w:szCs w:val="26"/>
        </w:rPr>
      </w:pPr>
      <w:proofErr w:type="spellStart"/>
      <w:r>
        <w:rPr>
          <w:rFonts w:ascii="Calibri" w:hAnsi="Calibri"/>
          <w:sz w:val="22"/>
          <w:szCs w:val="22"/>
        </w:rPr>
        <w:t>HiOA’s</w:t>
      </w:r>
      <w:proofErr w:type="spellEnd"/>
      <w:r>
        <w:rPr>
          <w:rFonts w:ascii="Calibri" w:hAnsi="Calibri"/>
          <w:sz w:val="22"/>
          <w:szCs w:val="22"/>
        </w:rPr>
        <w:t xml:space="preserve"> senior management team (comprising the rector, </w:t>
      </w:r>
      <w:proofErr w:type="spellStart"/>
      <w:r>
        <w:rPr>
          <w:rFonts w:ascii="Calibri" w:hAnsi="Calibri"/>
          <w:sz w:val="22"/>
          <w:szCs w:val="22"/>
        </w:rPr>
        <w:t>prorectors</w:t>
      </w:r>
      <w:proofErr w:type="spellEnd"/>
      <w:r>
        <w:rPr>
          <w:rFonts w:ascii="Calibri" w:hAnsi="Calibri"/>
          <w:sz w:val="22"/>
          <w:szCs w:val="22"/>
        </w:rPr>
        <w:t xml:space="preserve">, deans, heads of centres, two administrative directors and the head of the Student Parliament) consists of eight men and four women. Of the persons recruited to the top management team during the current rector’s period in office, half have been men and half women. </w:t>
      </w:r>
      <w:bookmarkStart w:id="20" w:name="_Toc472263961"/>
      <w:r w:rsidR="0098031C">
        <w:br w:type="page"/>
      </w:r>
      <w:r w:rsidR="0098031C">
        <w:rPr>
          <w:rStyle w:val="Overskrift3Tegn"/>
        </w:rPr>
        <w:lastRenderedPageBreak/>
        <w:t>Gender and pay</w:t>
      </w:r>
      <w:bookmarkEnd w:id="20"/>
    </w:p>
    <w:p w14:paraId="76AF76BA" w14:textId="77777777" w:rsidR="002B0009" w:rsidRDefault="002B0009" w:rsidP="002B0009">
      <w:pPr>
        <w:rPr>
          <w:rFonts w:cstheme="minorHAnsi"/>
          <w:sz w:val="26"/>
          <w:szCs w:val="26"/>
        </w:rPr>
      </w:pPr>
    </w:p>
    <w:p w14:paraId="1F62EC3A" w14:textId="427752C7" w:rsidR="00154BBC" w:rsidRDefault="00B02298" w:rsidP="002B0009">
      <w:pPr>
        <w:rPr>
          <w:rFonts w:ascii="Calibri" w:hAnsi="Calibri"/>
          <w:sz w:val="22"/>
          <w:szCs w:val="22"/>
        </w:rPr>
      </w:pPr>
      <w:r>
        <w:rPr>
          <w:rFonts w:ascii="Calibri" w:hAnsi="Calibri"/>
          <w:sz w:val="22"/>
          <w:szCs w:val="22"/>
        </w:rPr>
        <w:t>The overall average pay is slightly higher for men than for women. In the period 2012–2016, men on average earned marginally more than women in TA positions, while women in TR positions on average earn about 95% of men's average pay in similar positions.</w:t>
      </w:r>
    </w:p>
    <w:p w14:paraId="4D90C6A8" w14:textId="77777777" w:rsidR="002B0009" w:rsidRPr="002B0009" w:rsidRDefault="002B0009" w:rsidP="002B0009">
      <w:pPr>
        <w:rPr>
          <w:rFonts w:ascii="Calibri" w:eastAsiaTheme="majorEastAsia" w:hAnsi="Calibri" w:cstheme="majorBidi"/>
          <w:b/>
          <w:color w:val="000000" w:themeColor="text1"/>
          <w:u w:color="000000"/>
        </w:rPr>
      </w:pPr>
    </w:p>
    <w:tbl>
      <w:tblPr>
        <w:tblW w:w="5923" w:type="dxa"/>
        <w:tblCellMar>
          <w:left w:w="70" w:type="dxa"/>
          <w:right w:w="70" w:type="dxa"/>
        </w:tblCellMar>
        <w:tblLook w:val="04A0" w:firstRow="1" w:lastRow="0" w:firstColumn="1" w:lastColumn="0" w:noHBand="0" w:noVBand="1"/>
      </w:tblPr>
      <w:tblGrid>
        <w:gridCol w:w="2308"/>
        <w:gridCol w:w="574"/>
        <w:gridCol w:w="927"/>
        <w:gridCol w:w="1054"/>
        <w:gridCol w:w="1060"/>
      </w:tblGrid>
      <w:tr w:rsidR="00195D11" w:rsidRPr="000E1920" w14:paraId="339CC4C6" w14:textId="77777777" w:rsidTr="00154BBC">
        <w:trPr>
          <w:trHeight w:val="300"/>
        </w:trPr>
        <w:tc>
          <w:tcPr>
            <w:tcW w:w="2308" w:type="dxa"/>
            <w:vMerge w:val="restart"/>
            <w:tcBorders>
              <w:top w:val="single" w:sz="8" w:space="0" w:color="auto"/>
              <w:left w:val="single" w:sz="8" w:space="0" w:color="auto"/>
              <w:bottom w:val="single" w:sz="8" w:space="0" w:color="000000"/>
              <w:right w:val="single" w:sz="8" w:space="0" w:color="auto"/>
            </w:tcBorders>
            <w:shd w:val="clear" w:color="000000" w:fill="FCE4D6"/>
            <w:noWrap/>
            <w:vAlign w:val="center"/>
            <w:hideMark/>
          </w:tcPr>
          <w:p w14:paraId="4DBDE725"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Times New Roman" w:hAnsi="Calibri"/>
                <w:sz w:val="20"/>
                <w:szCs w:val="20"/>
                <w:bdr w:val="none" w:sz="0" w:space="0" w:color="auto"/>
              </w:rPr>
            </w:pPr>
            <w:r>
              <w:rPr>
                <w:rFonts w:ascii="Calibri" w:hAnsi="Calibri"/>
                <w:sz w:val="20"/>
                <w:szCs w:val="20"/>
                <w:bdr w:val="none" w:sz="0" w:space="0" w:color="auto"/>
              </w:rPr>
              <w:t>Job categories</w:t>
            </w:r>
          </w:p>
        </w:tc>
        <w:tc>
          <w:tcPr>
            <w:tcW w:w="574" w:type="dxa"/>
            <w:vMerge w:val="restart"/>
            <w:tcBorders>
              <w:top w:val="single" w:sz="8" w:space="0" w:color="auto"/>
              <w:left w:val="single" w:sz="8" w:space="0" w:color="auto"/>
              <w:bottom w:val="single" w:sz="8" w:space="0" w:color="000000"/>
              <w:right w:val="single" w:sz="4" w:space="0" w:color="auto"/>
            </w:tcBorders>
            <w:shd w:val="clear" w:color="000000" w:fill="FCE4D6"/>
            <w:noWrap/>
            <w:vAlign w:val="center"/>
            <w:hideMark/>
          </w:tcPr>
          <w:p w14:paraId="09594665"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Times New Roman" w:hAnsi="Calibri"/>
                <w:sz w:val="20"/>
                <w:szCs w:val="20"/>
                <w:bdr w:val="none" w:sz="0" w:space="0" w:color="auto"/>
              </w:rPr>
            </w:pPr>
            <w:r>
              <w:rPr>
                <w:rFonts w:ascii="Calibri" w:hAnsi="Calibri"/>
                <w:sz w:val="20"/>
                <w:szCs w:val="20"/>
                <w:bdr w:val="none" w:sz="0" w:space="0" w:color="auto"/>
              </w:rPr>
              <w:t>Year</w:t>
            </w:r>
          </w:p>
        </w:tc>
        <w:tc>
          <w:tcPr>
            <w:tcW w:w="1981" w:type="dxa"/>
            <w:gridSpan w:val="2"/>
            <w:tcBorders>
              <w:top w:val="single" w:sz="8" w:space="0" w:color="auto"/>
              <w:left w:val="nil"/>
              <w:bottom w:val="single" w:sz="4" w:space="0" w:color="auto"/>
              <w:right w:val="single" w:sz="8" w:space="0" w:color="000000"/>
            </w:tcBorders>
            <w:shd w:val="clear" w:color="000000" w:fill="FCE4D6"/>
            <w:noWrap/>
            <w:vAlign w:val="bottom"/>
            <w:hideMark/>
          </w:tcPr>
          <w:p w14:paraId="0EA323D7"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Times New Roman" w:hAnsi="Calibri"/>
                <w:sz w:val="20"/>
                <w:szCs w:val="20"/>
                <w:bdr w:val="none" w:sz="0" w:space="0" w:color="auto"/>
              </w:rPr>
            </w:pPr>
            <w:r>
              <w:rPr>
                <w:rFonts w:ascii="Calibri" w:hAnsi="Calibri"/>
                <w:sz w:val="20"/>
                <w:szCs w:val="20"/>
                <w:bdr w:val="none" w:sz="0" w:space="0" w:color="auto"/>
              </w:rPr>
              <w:t>Average pay</w:t>
            </w:r>
          </w:p>
        </w:tc>
        <w:tc>
          <w:tcPr>
            <w:tcW w:w="1060" w:type="dxa"/>
            <w:vMerge w:val="restart"/>
            <w:tcBorders>
              <w:top w:val="single" w:sz="8" w:space="0" w:color="auto"/>
              <w:left w:val="single" w:sz="8" w:space="0" w:color="auto"/>
              <w:bottom w:val="nil"/>
              <w:right w:val="single" w:sz="8" w:space="0" w:color="auto"/>
            </w:tcBorders>
            <w:shd w:val="clear" w:color="000000" w:fill="FCE4D6"/>
            <w:vAlign w:val="bottom"/>
            <w:hideMark/>
          </w:tcPr>
          <w:p w14:paraId="23A2B23E"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Times New Roman" w:hAnsi="Calibri"/>
                <w:sz w:val="20"/>
                <w:szCs w:val="20"/>
                <w:bdr w:val="none" w:sz="0" w:space="0" w:color="auto"/>
              </w:rPr>
            </w:pPr>
            <w:r>
              <w:rPr>
                <w:rFonts w:ascii="Calibri" w:hAnsi="Calibri"/>
                <w:sz w:val="20"/>
                <w:szCs w:val="20"/>
                <w:bdr w:val="none" w:sz="0" w:space="0" w:color="auto"/>
              </w:rPr>
              <w:t>Women's pay as % of men's pay</w:t>
            </w:r>
          </w:p>
        </w:tc>
      </w:tr>
      <w:tr w:rsidR="00195D11" w:rsidRPr="000E1920" w14:paraId="4BAE0566" w14:textId="77777777" w:rsidTr="00154BBC">
        <w:trPr>
          <w:trHeight w:val="626"/>
        </w:trPr>
        <w:tc>
          <w:tcPr>
            <w:tcW w:w="2308" w:type="dxa"/>
            <w:vMerge/>
            <w:tcBorders>
              <w:top w:val="single" w:sz="8" w:space="0" w:color="auto"/>
              <w:left w:val="single" w:sz="8" w:space="0" w:color="auto"/>
              <w:bottom w:val="single" w:sz="8" w:space="0" w:color="000000"/>
              <w:right w:val="single" w:sz="8" w:space="0" w:color="auto"/>
            </w:tcBorders>
            <w:vAlign w:val="center"/>
            <w:hideMark/>
          </w:tcPr>
          <w:p w14:paraId="2035A803"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574" w:type="dxa"/>
            <w:vMerge/>
            <w:tcBorders>
              <w:top w:val="single" w:sz="8" w:space="0" w:color="auto"/>
              <w:left w:val="single" w:sz="8" w:space="0" w:color="auto"/>
              <w:bottom w:val="single" w:sz="8" w:space="0" w:color="000000"/>
              <w:right w:val="single" w:sz="4" w:space="0" w:color="auto"/>
            </w:tcBorders>
            <w:vAlign w:val="center"/>
            <w:hideMark/>
          </w:tcPr>
          <w:p w14:paraId="457B4AE3"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927" w:type="dxa"/>
            <w:tcBorders>
              <w:top w:val="nil"/>
              <w:left w:val="nil"/>
              <w:bottom w:val="nil"/>
              <w:right w:val="nil"/>
            </w:tcBorders>
            <w:shd w:val="clear" w:color="000000" w:fill="FCE4D6"/>
            <w:noWrap/>
            <w:vAlign w:val="bottom"/>
            <w:hideMark/>
          </w:tcPr>
          <w:p w14:paraId="052557F5"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Times New Roman" w:hAnsi="Calibri"/>
                <w:sz w:val="20"/>
                <w:szCs w:val="20"/>
                <w:bdr w:val="none" w:sz="0" w:space="0" w:color="auto"/>
              </w:rPr>
            </w:pPr>
            <w:r>
              <w:rPr>
                <w:rFonts w:ascii="Calibri" w:hAnsi="Calibri"/>
                <w:sz w:val="20"/>
                <w:szCs w:val="20"/>
                <w:bdr w:val="none" w:sz="0" w:space="0" w:color="auto"/>
              </w:rPr>
              <w:t>Women</w:t>
            </w:r>
          </w:p>
        </w:tc>
        <w:tc>
          <w:tcPr>
            <w:tcW w:w="1054" w:type="dxa"/>
            <w:tcBorders>
              <w:top w:val="nil"/>
              <w:left w:val="nil"/>
              <w:bottom w:val="nil"/>
              <w:right w:val="single" w:sz="8" w:space="0" w:color="auto"/>
            </w:tcBorders>
            <w:shd w:val="clear" w:color="000000" w:fill="FCE4D6"/>
            <w:noWrap/>
            <w:vAlign w:val="bottom"/>
            <w:hideMark/>
          </w:tcPr>
          <w:p w14:paraId="04ABFEAA"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Times New Roman" w:hAnsi="Calibri"/>
                <w:sz w:val="20"/>
                <w:szCs w:val="20"/>
                <w:bdr w:val="none" w:sz="0" w:space="0" w:color="auto"/>
              </w:rPr>
            </w:pPr>
            <w:r>
              <w:rPr>
                <w:rFonts w:ascii="Calibri" w:hAnsi="Calibri"/>
                <w:sz w:val="20"/>
                <w:szCs w:val="20"/>
                <w:bdr w:val="none" w:sz="0" w:space="0" w:color="auto"/>
              </w:rPr>
              <w:t>Men</w:t>
            </w:r>
          </w:p>
        </w:tc>
        <w:tc>
          <w:tcPr>
            <w:tcW w:w="1060" w:type="dxa"/>
            <w:vMerge/>
            <w:tcBorders>
              <w:top w:val="single" w:sz="8" w:space="0" w:color="auto"/>
              <w:left w:val="single" w:sz="8" w:space="0" w:color="auto"/>
              <w:bottom w:val="nil"/>
              <w:right w:val="single" w:sz="8" w:space="0" w:color="auto"/>
            </w:tcBorders>
            <w:vAlign w:val="center"/>
            <w:hideMark/>
          </w:tcPr>
          <w:p w14:paraId="55557D20"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r>
      <w:tr w:rsidR="00195D11" w:rsidRPr="000E1920" w14:paraId="79673410" w14:textId="77777777" w:rsidTr="00154BBC">
        <w:trPr>
          <w:trHeight w:val="300"/>
        </w:trPr>
        <w:tc>
          <w:tcPr>
            <w:tcW w:w="2308" w:type="dxa"/>
            <w:vMerge w:val="restart"/>
            <w:tcBorders>
              <w:top w:val="nil"/>
              <w:left w:val="single" w:sz="8" w:space="0" w:color="auto"/>
              <w:bottom w:val="single" w:sz="4" w:space="0" w:color="000000"/>
              <w:right w:val="single" w:sz="8" w:space="0" w:color="auto"/>
            </w:tcBorders>
            <w:shd w:val="clear" w:color="000000" w:fill="D9E1F2"/>
            <w:noWrap/>
            <w:vAlign w:val="center"/>
            <w:hideMark/>
          </w:tcPr>
          <w:p w14:paraId="6E11EC8C" w14:textId="4D60C43B"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Times New Roman" w:hAnsi="Calibri"/>
                <w:sz w:val="20"/>
                <w:szCs w:val="20"/>
                <w:bdr w:val="none" w:sz="0" w:space="0" w:color="auto"/>
              </w:rPr>
            </w:pPr>
            <w:r>
              <w:rPr>
                <w:rFonts w:ascii="Calibri" w:hAnsi="Calibri"/>
                <w:sz w:val="20"/>
                <w:szCs w:val="20"/>
                <w:bdr w:val="none" w:sz="0" w:space="0" w:color="auto"/>
              </w:rPr>
              <w:t>Total number of employees</w:t>
            </w:r>
          </w:p>
        </w:tc>
        <w:tc>
          <w:tcPr>
            <w:tcW w:w="574" w:type="dxa"/>
            <w:tcBorders>
              <w:top w:val="single" w:sz="8" w:space="0" w:color="auto"/>
              <w:left w:val="nil"/>
              <w:bottom w:val="single" w:sz="4" w:space="0" w:color="auto"/>
              <w:right w:val="single" w:sz="4" w:space="0" w:color="auto"/>
            </w:tcBorders>
            <w:shd w:val="clear" w:color="000000" w:fill="D9E1F2"/>
            <w:noWrap/>
            <w:vAlign w:val="bottom"/>
            <w:hideMark/>
          </w:tcPr>
          <w:p w14:paraId="40ACB68A"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2016</w:t>
            </w:r>
          </w:p>
        </w:tc>
        <w:tc>
          <w:tcPr>
            <w:tcW w:w="927" w:type="dxa"/>
            <w:tcBorders>
              <w:top w:val="single" w:sz="8" w:space="0" w:color="auto"/>
              <w:left w:val="nil"/>
              <w:bottom w:val="single" w:sz="4" w:space="0" w:color="auto"/>
              <w:right w:val="single" w:sz="4" w:space="0" w:color="auto"/>
            </w:tcBorders>
            <w:shd w:val="clear" w:color="000000" w:fill="D9E1F2"/>
            <w:noWrap/>
            <w:vAlign w:val="bottom"/>
            <w:hideMark/>
          </w:tcPr>
          <w:p w14:paraId="15C565FA"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579,003</w:t>
            </w:r>
          </w:p>
        </w:tc>
        <w:tc>
          <w:tcPr>
            <w:tcW w:w="1054" w:type="dxa"/>
            <w:tcBorders>
              <w:top w:val="single" w:sz="8" w:space="0" w:color="auto"/>
              <w:left w:val="nil"/>
              <w:bottom w:val="single" w:sz="4" w:space="0" w:color="auto"/>
              <w:right w:val="nil"/>
            </w:tcBorders>
            <w:shd w:val="clear" w:color="000000" w:fill="D9E1F2"/>
            <w:noWrap/>
            <w:vAlign w:val="bottom"/>
            <w:hideMark/>
          </w:tcPr>
          <w:p w14:paraId="50E5E3E0"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598,733</w:t>
            </w:r>
          </w:p>
        </w:tc>
        <w:tc>
          <w:tcPr>
            <w:tcW w:w="1060" w:type="dxa"/>
            <w:tcBorders>
              <w:top w:val="single" w:sz="8" w:space="0" w:color="auto"/>
              <w:left w:val="single" w:sz="8" w:space="0" w:color="auto"/>
              <w:bottom w:val="single" w:sz="4" w:space="0" w:color="auto"/>
              <w:right w:val="single" w:sz="8" w:space="0" w:color="auto"/>
            </w:tcBorders>
            <w:shd w:val="clear" w:color="000000" w:fill="FFF2CC"/>
            <w:noWrap/>
            <w:vAlign w:val="bottom"/>
            <w:hideMark/>
          </w:tcPr>
          <w:p w14:paraId="1E63E57A"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96.7%</w:t>
            </w:r>
          </w:p>
        </w:tc>
      </w:tr>
      <w:tr w:rsidR="00195D11" w:rsidRPr="000E1920" w14:paraId="776ECDC5" w14:textId="77777777" w:rsidTr="00154BBC">
        <w:trPr>
          <w:trHeight w:val="300"/>
        </w:trPr>
        <w:tc>
          <w:tcPr>
            <w:tcW w:w="2308" w:type="dxa"/>
            <w:vMerge/>
            <w:tcBorders>
              <w:top w:val="nil"/>
              <w:left w:val="single" w:sz="8" w:space="0" w:color="auto"/>
              <w:bottom w:val="single" w:sz="4" w:space="0" w:color="000000"/>
              <w:right w:val="single" w:sz="8" w:space="0" w:color="auto"/>
            </w:tcBorders>
            <w:vAlign w:val="center"/>
            <w:hideMark/>
          </w:tcPr>
          <w:p w14:paraId="0745333E"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574" w:type="dxa"/>
            <w:tcBorders>
              <w:top w:val="nil"/>
              <w:left w:val="nil"/>
              <w:bottom w:val="single" w:sz="4" w:space="0" w:color="auto"/>
              <w:right w:val="single" w:sz="4" w:space="0" w:color="auto"/>
            </w:tcBorders>
            <w:shd w:val="clear" w:color="000000" w:fill="D9E1F2"/>
            <w:noWrap/>
            <w:vAlign w:val="bottom"/>
            <w:hideMark/>
          </w:tcPr>
          <w:p w14:paraId="04CB7485"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2015</w:t>
            </w:r>
          </w:p>
        </w:tc>
        <w:tc>
          <w:tcPr>
            <w:tcW w:w="927" w:type="dxa"/>
            <w:tcBorders>
              <w:top w:val="nil"/>
              <w:left w:val="nil"/>
              <w:bottom w:val="single" w:sz="4" w:space="0" w:color="auto"/>
              <w:right w:val="single" w:sz="4" w:space="0" w:color="auto"/>
            </w:tcBorders>
            <w:shd w:val="clear" w:color="000000" w:fill="D9E1F2"/>
            <w:noWrap/>
            <w:vAlign w:val="bottom"/>
            <w:hideMark/>
          </w:tcPr>
          <w:p w14:paraId="71909696"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561,161</w:t>
            </w:r>
          </w:p>
        </w:tc>
        <w:tc>
          <w:tcPr>
            <w:tcW w:w="1054" w:type="dxa"/>
            <w:tcBorders>
              <w:top w:val="nil"/>
              <w:left w:val="nil"/>
              <w:bottom w:val="single" w:sz="4" w:space="0" w:color="auto"/>
              <w:right w:val="nil"/>
            </w:tcBorders>
            <w:shd w:val="clear" w:color="000000" w:fill="D9E1F2"/>
            <w:noWrap/>
            <w:vAlign w:val="bottom"/>
            <w:hideMark/>
          </w:tcPr>
          <w:p w14:paraId="52EDE344"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580,455</w:t>
            </w:r>
          </w:p>
        </w:tc>
        <w:tc>
          <w:tcPr>
            <w:tcW w:w="1060" w:type="dxa"/>
            <w:tcBorders>
              <w:top w:val="nil"/>
              <w:left w:val="single" w:sz="8" w:space="0" w:color="auto"/>
              <w:bottom w:val="single" w:sz="4" w:space="0" w:color="auto"/>
              <w:right w:val="single" w:sz="8" w:space="0" w:color="auto"/>
            </w:tcBorders>
            <w:shd w:val="clear" w:color="000000" w:fill="FFF2CC"/>
            <w:noWrap/>
            <w:vAlign w:val="bottom"/>
            <w:hideMark/>
          </w:tcPr>
          <w:p w14:paraId="0B347B67"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96.7%</w:t>
            </w:r>
          </w:p>
        </w:tc>
      </w:tr>
      <w:tr w:rsidR="00195D11" w:rsidRPr="000E1920" w14:paraId="56697055" w14:textId="77777777" w:rsidTr="00154BBC">
        <w:trPr>
          <w:trHeight w:val="300"/>
        </w:trPr>
        <w:tc>
          <w:tcPr>
            <w:tcW w:w="2308" w:type="dxa"/>
            <w:vMerge/>
            <w:tcBorders>
              <w:top w:val="nil"/>
              <w:left w:val="single" w:sz="8" w:space="0" w:color="auto"/>
              <w:bottom w:val="single" w:sz="4" w:space="0" w:color="000000"/>
              <w:right w:val="single" w:sz="8" w:space="0" w:color="auto"/>
            </w:tcBorders>
            <w:vAlign w:val="center"/>
            <w:hideMark/>
          </w:tcPr>
          <w:p w14:paraId="70D8F6F9"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574" w:type="dxa"/>
            <w:tcBorders>
              <w:top w:val="nil"/>
              <w:left w:val="nil"/>
              <w:bottom w:val="single" w:sz="4" w:space="0" w:color="auto"/>
              <w:right w:val="single" w:sz="4" w:space="0" w:color="auto"/>
            </w:tcBorders>
            <w:shd w:val="clear" w:color="000000" w:fill="D9E1F2"/>
            <w:noWrap/>
            <w:vAlign w:val="bottom"/>
            <w:hideMark/>
          </w:tcPr>
          <w:p w14:paraId="4E87AAC3"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2014</w:t>
            </w:r>
          </w:p>
        </w:tc>
        <w:tc>
          <w:tcPr>
            <w:tcW w:w="927" w:type="dxa"/>
            <w:tcBorders>
              <w:top w:val="nil"/>
              <w:left w:val="nil"/>
              <w:bottom w:val="single" w:sz="4" w:space="0" w:color="auto"/>
              <w:right w:val="single" w:sz="4" w:space="0" w:color="auto"/>
            </w:tcBorders>
            <w:shd w:val="clear" w:color="000000" w:fill="D9E1F2"/>
            <w:noWrap/>
            <w:vAlign w:val="bottom"/>
            <w:hideMark/>
          </w:tcPr>
          <w:p w14:paraId="26F603B3"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560,580</w:t>
            </w:r>
          </w:p>
        </w:tc>
        <w:tc>
          <w:tcPr>
            <w:tcW w:w="1054" w:type="dxa"/>
            <w:tcBorders>
              <w:top w:val="nil"/>
              <w:left w:val="nil"/>
              <w:bottom w:val="single" w:sz="4" w:space="0" w:color="auto"/>
              <w:right w:val="nil"/>
            </w:tcBorders>
            <w:shd w:val="clear" w:color="000000" w:fill="D9E1F2"/>
            <w:noWrap/>
            <w:vAlign w:val="bottom"/>
            <w:hideMark/>
          </w:tcPr>
          <w:p w14:paraId="46F8A1A0"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583,546</w:t>
            </w:r>
          </w:p>
        </w:tc>
        <w:tc>
          <w:tcPr>
            <w:tcW w:w="1060" w:type="dxa"/>
            <w:tcBorders>
              <w:top w:val="single" w:sz="4" w:space="0" w:color="auto"/>
              <w:left w:val="single" w:sz="8" w:space="0" w:color="auto"/>
              <w:bottom w:val="single" w:sz="4" w:space="0" w:color="auto"/>
              <w:right w:val="single" w:sz="8" w:space="0" w:color="auto"/>
            </w:tcBorders>
            <w:shd w:val="clear" w:color="000000" w:fill="FFF2CC"/>
            <w:noWrap/>
            <w:vAlign w:val="bottom"/>
            <w:hideMark/>
          </w:tcPr>
          <w:p w14:paraId="4B5D53EC"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96.1%</w:t>
            </w:r>
          </w:p>
        </w:tc>
      </w:tr>
      <w:tr w:rsidR="00195D11" w:rsidRPr="000E1920" w14:paraId="5486C4BD" w14:textId="77777777" w:rsidTr="00154BBC">
        <w:trPr>
          <w:trHeight w:val="300"/>
        </w:trPr>
        <w:tc>
          <w:tcPr>
            <w:tcW w:w="2308" w:type="dxa"/>
            <w:vMerge/>
            <w:tcBorders>
              <w:top w:val="nil"/>
              <w:left w:val="single" w:sz="8" w:space="0" w:color="auto"/>
              <w:bottom w:val="single" w:sz="4" w:space="0" w:color="000000"/>
              <w:right w:val="single" w:sz="8" w:space="0" w:color="auto"/>
            </w:tcBorders>
            <w:vAlign w:val="center"/>
            <w:hideMark/>
          </w:tcPr>
          <w:p w14:paraId="2607406D"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574" w:type="dxa"/>
            <w:tcBorders>
              <w:top w:val="nil"/>
              <w:left w:val="nil"/>
              <w:bottom w:val="single" w:sz="4" w:space="0" w:color="auto"/>
              <w:right w:val="single" w:sz="4" w:space="0" w:color="auto"/>
            </w:tcBorders>
            <w:shd w:val="clear" w:color="000000" w:fill="D9E1F2"/>
            <w:noWrap/>
            <w:vAlign w:val="bottom"/>
            <w:hideMark/>
          </w:tcPr>
          <w:p w14:paraId="7F3F5D60"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2013</w:t>
            </w:r>
          </w:p>
        </w:tc>
        <w:tc>
          <w:tcPr>
            <w:tcW w:w="927" w:type="dxa"/>
            <w:tcBorders>
              <w:top w:val="single" w:sz="4" w:space="0" w:color="auto"/>
              <w:left w:val="nil"/>
              <w:bottom w:val="single" w:sz="4" w:space="0" w:color="auto"/>
              <w:right w:val="single" w:sz="4" w:space="0" w:color="auto"/>
            </w:tcBorders>
            <w:shd w:val="clear" w:color="000000" w:fill="D9E1F2"/>
            <w:noWrap/>
            <w:vAlign w:val="bottom"/>
            <w:hideMark/>
          </w:tcPr>
          <w:p w14:paraId="4A13B371"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530,713</w:t>
            </w:r>
          </w:p>
        </w:tc>
        <w:tc>
          <w:tcPr>
            <w:tcW w:w="1054" w:type="dxa"/>
            <w:tcBorders>
              <w:top w:val="nil"/>
              <w:left w:val="single" w:sz="4" w:space="0" w:color="auto"/>
              <w:bottom w:val="single" w:sz="4" w:space="0" w:color="auto"/>
              <w:right w:val="nil"/>
            </w:tcBorders>
            <w:shd w:val="clear" w:color="000000" w:fill="D9E1F2"/>
            <w:noWrap/>
            <w:vAlign w:val="bottom"/>
            <w:hideMark/>
          </w:tcPr>
          <w:p w14:paraId="70D7DC53"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551,918</w:t>
            </w:r>
          </w:p>
        </w:tc>
        <w:tc>
          <w:tcPr>
            <w:tcW w:w="1060" w:type="dxa"/>
            <w:tcBorders>
              <w:top w:val="nil"/>
              <w:left w:val="single" w:sz="8" w:space="0" w:color="auto"/>
              <w:bottom w:val="single" w:sz="4" w:space="0" w:color="auto"/>
              <w:right w:val="single" w:sz="8" w:space="0" w:color="auto"/>
            </w:tcBorders>
            <w:shd w:val="clear" w:color="000000" w:fill="FFF2CC"/>
            <w:noWrap/>
            <w:vAlign w:val="bottom"/>
            <w:hideMark/>
          </w:tcPr>
          <w:p w14:paraId="242C5A09"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96.2%</w:t>
            </w:r>
          </w:p>
        </w:tc>
      </w:tr>
      <w:tr w:rsidR="00195D11" w:rsidRPr="000E1920" w14:paraId="41D0E793" w14:textId="77777777" w:rsidTr="00154BBC">
        <w:trPr>
          <w:trHeight w:val="300"/>
        </w:trPr>
        <w:tc>
          <w:tcPr>
            <w:tcW w:w="2308" w:type="dxa"/>
            <w:vMerge/>
            <w:tcBorders>
              <w:top w:val="nil"/>
              <w:left w:val="single" w:sz="8" w:space="0" w:color="auto"/>
              <w:bottom w:val="single" w:sz="4" w:space="0" w:color="000000"/>
              <w:right w:val="single" w:sz="8" w:space="0" w:color="auto"/>
            </w:tcBorders>
            <w:vAlign w:val="center"/>
            <w:hideMark/>
          </w:tcPr>
          <w:p w14:paraId="51366CB6"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574" w:type="dxa"/>
            <w:tcBorders>
              <w:top w:val="nil"/>
              <w:left w:val="nil"/>
              <w:bottom w:val="single" w:sz="4" w:space="0" w:color="auto"/>
              <w:right w:val="single" w:sz="4" w:space="0" w:color="auto"/>
            </w:tcBorders>
            <w:shd w:val="clear" w:color="000000" w:fill="D9E1F2"/>
            <w:noWrap/>
            <w:vAlign w:val="bottom"/>
            <w:hideMark/>
          </w:tcPr>
          <w:p w14:paraId="2FF56B18"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2012</w:t>
            </w:r>
          </w:p>
        </w:tc>
        <w:tc>
          <w:tcPr>
            <w:tcW w:w="927" w:type="dxa"/>
            <w:tcBorders>
              <w:top w:val="nil"/>
              <w:left w:val="nil"/>
              <w:bottom w:val="single" w:sz="4" w:space="0" w:color="auto"/>
              <w:right w:val="single" w:sz="4" w:space="0" w:color="auto"/>
            </w:tcBorders>
            <w:shd w:val="clear" w:color="000000" w:fill="D9E1F2"/>
            <w:noWrap/>
            <w:vAlign w:val="bottom"/>
            <w:hideMark/>
          </w:tcPr>
          <w:p w14:paraId="378737D0"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512,629</w:t>
            </w:r>
          </w:p>
        </w:tc>
        <w:tc>
          <w:tcPr>
            <w:tcW w:w="1054" w:type="dxa"/>
            <w:tcBorders>
              <w:top w:val="nil"/>
              <w:left w:val="single" w:sz="4" w:space="0" w:color="auto"/>
              <w:bottom w:val="single" w:sz="4" w:space="0" w:color="auto"/>
              <w:right w:val="nil"/>
            </w:tcBorders>
            <w:shd w:val="clear" w:color="000000" w:fill="D9E1F2"/>
            <w:noWrap/>
            <w:vAlign w:val="bottom"/>
            <w:hideMark/>
          </w:tcPr>
          <w:p w14:paraId="59750293"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538,516</w:t>
            </w:r>
          </w:p>
        </w:tc>
        <w:tc>
          <w:tcPr>
            <w:tcW w:w="1060" w:type="dxa"/>
            <w:tcBorders>
              <w:top w:val="nil"/>
              <w:left w:val="single" w:sz="8" w:space="0" w:color="auto"/>
              <w:bottom w:val="single" w:sz="4" w:space="0" w:color="auto"/>
              <w:right w:val="single" w:sz="8" w:space="0" w:color="auto"/>
            </w:tcBorders>
            <w:shd w:val="clear" w:color="000000" w:fill="FFF2CC"/>
            <w:noWrap/>
            <w:vAlign w:val="bottom"/>
            <w:hideMark/>
          </w:tcPr>
          <w:p w14:paraId="78F09D56"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95.2%</w:t>
            </w:r>
          </w:p>
        </w:tc>
      </w:tr>
      <w:tr w:rsidR="00195D11" w:rsidRPr="000E1920" w14:paraId="61227B26" w14:textId="77777777" w:rsidTr="00154BBC">
        <w:trPr>
          <w:trHeight w:val="300"/>
        </w:trPr>
        <w:tc>
          <w:tcPr>
            <w:tcW w:w="2308" w:type="dxa"/>
            <w:vMerge w:val="restart"/>
            <w:tcBorders>
              <w:top w:val="nil"/>
              <w:left w:val="single" w:sz="8" w:space="0" w:color="auto"/>
              <w:bottom w:val="single" w:sz="4" w:space="0" w:color="000000"/>
              <w:right w:val="single" w:sz="8" w:space="0" w:color="auto"/>
            </w:tcBorders>
            <w:shd w:val="clear" w:color="000000" w:fill="FFF2CC"/>
            <w:noWrap/>
            <w:vAlign w:val="center"/>
            <w:hideMark/>
          </w:tcPr>
          <w:p w14:paraId="0650CBA5"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Times New Roman" w:hAnsi="Calibri"/>
                <w:sz w:val="20"/>
                <w:szCs w:val="20"/>
                <w:bdr w:val="none" w:sz="0" w:space="0" w:color="auto"/>
              </w:rPr>
            </w:pPr>
            <w:r>
              <w:rPr>
                <w:rFonts w:ascii="Calibri" w:hAnsi="Calibri"/>
                <w:sz w:val="20"/>
                <w:szCs w:val="20"/>
                <w:bdr w:val="none" w:sz="0" w:space="0" w:color="auto"/>
              </w:rPr>
              <w:t>TA positions – total</w:t>
            </w:r>
          </w:p>
        </w:tc>
        <w:tc>
          <w:tcPr>
            <w:tcW w:w="574" w:type="dxa"/>
            <w:tcBorders>
              <w:top w:val="nil"/>
              <w:left w:val="nil"/>
              <w:bottom w:val="single" w:sz="4" w:space="0" w:color="auto"/>
              <w:right w:val="single" w:sz="4" w:space="0" w:color="auto"/>
            </w:tcBorders>
            <w:shd w:val="clear" w:color="000000" w:fill="FFF2CC"/>
            <w:noWrap/>
            <w:vAlign w:val="bottom"/>
            <w:hideMark/>
          </w:tcPr>
          <w:p w14:paraId="64A1393A"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2016</w:t>
            </w:r>
          </w:p>
        </w:tc>
        <w:tc>
          <w:tcPr>
            <w:tcW w:w="927" w:type="dxa"/>
            <w:tcBorders>
              <w:top w:val="nil"/>
              <w:left w:val="single" w:sz="4" w:space="0" w:color="auto"/>
              <w:bottom w:val="single" w:sz="4" w:space="0" w:color="auto"/>
              <w:right w:val="single" w:sz="4" w:space="0" w:color="auto"/>
            </w:tcBorders>
            <w:shd w:val="clear" w:color="000000" w:fill="FFF2CC"/>
            <w:noWrap/>
            <w:vAlign w:val="bottom"/>
            <w:hideMark/>
          </w:tcPr>
          <w:p w14:paraId="1B395911"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542,839</w:t>
            </w:r>
          </w:p>
        </w:tc>
        <w:tc>
          <w:tcPr>
            <w:tcW w:w="1054" w:type="dxa"/>
            <w:tcBorders>
              <w:top w:val="nil"/>
              <w:left w:val="single" w:sz="4" w:space="0" w:color="auto"/>
              <w:bottom w:val="single" w:sz="4" w:space="0" w:color="auto"/>
              <w:right w:val="nil"/>
            </w:tcBorders>
            <w:shd w:val="clear" w:color="000000" w:fill="FFF2CC"/>
            <w:noWrap/>
            <w:vAlign w:val="bottom"/>
            <w:hideMark/>
          </w:tcPr>
          <w:p w14:paraId="021AA91C"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545,241</w:t>
            </w:r>
          </w:p>
        </w:tc>
        <w:tc>
          <w:tcPr>
            <w:tcW w:w="1060" w:type="dxa"/>
            <w:tcBorders>
              <w:top w:val="nil"/>
              <w:left w:val="single" w:sz="8" w:space="0" w:color="auto"/>
              <w:bottom w:val="single" w:sz="4" w:space="0" w:color="auto"/>
              <w:right w:val="single" w:sz="8" w:space="0" w:color="auto"/>
            </w:tcBorders>
            <w:shd w:val="clear" w:color="000000" w:fill="D9E1F2"/>
            <w:noWrap/>
            <w:vAlign w:val="bottom"/>
            <w:hideMark/>
          </w:tcPr>
          <w:p w14:paraId="53D65908"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99.6%</w:t>
            </w:r>
          </w:p>
        </w:tc>
      </w:tr>
      <w:tr w:rsidR="00195D11" w:rsidRPr="000E1920" w14:paraId="730608FE" w14:textId="77777777" w:rsidTr="00154BBC">
        <w:trPr>
          <w:trHeight w:val="300"/>
        </w:trPr>
        <w:tc>
          <w:tcPr>
            <w:tcW w:w="2308" w:type="dxa"/>
            <w:vMerge/>
            <w:tcBorders>
              <w:top w:val="nil"/>
              <w:left w:val="single" w:sz="8" w:space="0" w:color="auto"/>
              <w:bottom w:val="single" w:sz="4" w:space="0" w:color="000000"/>
              <w:right w:val="single" w:sz="8" w:space="0" w:color="auto"/>
            </w:tcBorders>
            <w:vAlign w:val="center"/>
            <w:hideMark/>
          </w:tcPr>
          <w:p w14:paraId="02DB3939"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574" w:type="dxa"/>
            <w:tcBorders>
              <w:top w:val="nil"/>
              <w:left w:val="nil"/>
              <w:bottom w:val="single" w:sz="4" w:space="0" w:color="auto"/>
              <w:right w:val="single" w:sz="4" w:space="0" w:color="auto"/>
            </w:tcBorders>
            <w:shd w:val="clear" w:color="000000" w:fill="FFF2CC"/>
            <w:noWrap/>
            <w:vAlign w:val="bottom"/>
            <w:hideMark/>
          </w:tcPr>
          <w:p w14:paraId="2F2F0012"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2015</w:t>
            </w:r>
          </w:p>
        </w:tc>
        <w:tc>
          <w:tcPr>
            <w:tcW w:w="927" w:type="dxa"/>
            <w:tcBorders>
              <w:top w:val="nil"/>
              <w:left w:val="nil"/>
              <w:bottom w:val="single" w:sz="4" w:space="0" w:color="auto"/>
              <w:right w:val="single" w:sz="4" w:space="0" w:color="auto"/>
            </w:tcBorders>
            <w:shd w:val="clear" w:color="000000" w:fill="FFF2CC"/>
            <w:noWrap/>
            <w:vAlign w:val="bottom"/>
            <w:hideMark/>
          </w:tcPr>
          <w:p w14:paraId="58979D8B"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524,475</w:t>
            </w:r>
          </w:p>
        </w:tc>
        <w:tc>
          <w:tcPr>
            <w:tcW w:w="1054" w:type="dxa"/>
            <w:tcBorders>
              <w:top w:val="nil"/>
              <w:left w:val="single" w:sz="4" w:space="0" w:color="auto"/>
              <w:bottom w:val="single" w:sz="4" w:space="0" w:color="auto"/>
              <w:right w:val="nil"/>
            </w:tcBorders>
            <w:shd w:val="clear" w:color="000000" w:fill="FFF2CC"/>
            <w:noWrap/>
            <w:vAlign w:val="bottom"/>
            <w:hideMark/>
          </w:tcPr>
          <w:p w14:paraId="4B83C293"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521,815</w:t>
            </w:r>
          </w:p>
        </w:tc>
        <w:tc>
          <w:tcPr>
            <w:tcW w:w="1060" w:type="dxa"/>
            <w:tcBorders>
              <w:top w:val="nil"/>
              <w:left w:val="single" w:sz="8" w:space="0" w:color="auto"/>
              <w:bottom w:val="single" w:sz="4" w:space="0" w:color="auto"/>
              <w:right w:val="single" w:sz="8" w:space="0" w:color="auto"/>
            </w:tcBorders>
            <w:shd w:val="clear" w:color="000000" w:fill="D9E1F2"/>
            <w:noWrap/>
            <w:vAlign w:val="bottom"/>
            <w:hideMark/>
          </w:tcPr>
          <w:p w14:paraId="18CC5C85"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100.5%</w:t>
            </w:r>
          </w:p>
        </w:tc>
      </w:tr>
      <w:tr w:rsidR="00195D11" w:rsidRPr="000E1920" w14:paraId="7AA22F4C" w14:textId="77777777" w:rsidTr="00154BBC">
        <w:trPr>
          <w:trHeight w:val="300"/>
        </w:trPr>
        <w:tc>
          <w:tcPr>
            <w:tcW w:w="2308" w:type="dxa"/>
            <w:vMerge/>
            <w:tcBorders>
              <w:top w:val="nil"/>
              <w:left w:val="single" w:sz="8" w:space="0" w:color="auto"/>
              <w:bottom w:val="single" w:sz="4" w:space="0" w:color="000000"/>
              <w:right w:val="single" w:sz="8" w:space="0" w:color="auto"/>
            </w:tcBorders>
            <w:vAlign w:val="center"/>
            <w:hideMark/>
          </w:tcPr>
          <w:p w14:paraId="4993FEB2"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574" w:type="dxa"/>
            <w:tcBorders>
              <w:top w:val="nil"/>
              <w:left w:val="nil"/>
              <w:bottom w:val="single" w:sz="4" w:space="0" w:color="auto"/>
              <w:right w:val="single" w:sz="4" w:space="0" w:color="auto"/>
            </w:tcBorders>
            <w:shd w:val="clear" w:color="000000" w:fill="FFF2CC"/>
            <w:noWrap/>
            <w:vAlign w:val="bottom"/>
            <w:hideMark/>
          </w:tcPr>
          <w:p w14:paraId="4D9EC768"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2014</w:t>
            </w:r>
          </w:p>
        </w:tc>
        <w:tc>
          <w:tcPr>
            <w:tcW w:w="927" w:type="dxa"/>
            <w:tcBorders>
              <w:top w:val="nil"/>
              <w:left w:val="nil"/>
              <w:bottom w:val="single" w:sz="4" w:space="0" w:color="auto"/>
              <w:right w:val="single" w:sz="4" w:space="0" w:color="auto"/>
            </w:tcBorders>
            <w:shd w:val="clear" w:color="000000" w:fill="FFF2CC"/>
            <w:noWrap/>
            <w:vAlign w:val="bottom"/>
            <w:hideMark/>
          </w:tcPr>
          <w:p w14:paraId="5D123ECA"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520,600</w:t>
            </w:r>
          </w:p>
        </w:tc>
        <w:tc>
          <w:tcPr>
            <w:tcW w:w="1054" w:type="dxa"/>
            <w:tcBorders>
              <w:top w:val="nil"/>
              <w:left w:val="single" w:sz="4" w:space="0" w:color="auto"/>
              <w:bottom w:val="single" w:sz="4" w:space="0" w:color="auto"/>
              <w:right w:val="nil"/>
            </w:tcBorders>
            <w:shd w:val="clear" w:color="000000" w:fill="FFF2CC"/>
            <w:noWrap/>
            <w:vAlign w:val="bottom"/>
            <w:hideMark/>
          </w:tcPr>
          <w:p w14:paraId="1FFFC658"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530,546</w:t>
            </w:r>
          </w:p>
        </w:tc>
        <w:tc>
          <w:tcPr>
            <w:tcW w:w="1060" w:type="dxa"/>
            <w:tcBorders>
              <w:top w:val="nil"/>
              <w:left w:val="single" w:sz="8" w:space="0" w:color="auto"/>
              <w:bottom w:val="single" w:sz="4" w:space="0" w:color="auto"/>
              <w:right w:val="single" w:sz="8" w:space="0" w:color="auto"/>
            </w:tcBorders>
            <w:shd w:val="clear" w:color="000000" w:fill="D9E1F2"/>
            <w:noWrap/>
            <w:vAlign w:val="bottom"/>
            <w:hideMark/>
          </w:tcPr>
          <w:p w14:paraId="3268D438"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98.1%</w:t>
            </w:r>
          </w:p>
        </w:tc>
      </w:tr>
      <w:tr w:rsidR="00195D11" w:rsidRPr="000E1920" w14:paraId="68308667" w14:textId="77777777" w:rsidTr="00154BBC">
        <w:trPr>
          <w:trHeight w:val="300"/>
        </w:trPr>
        <w:tc>
          <w:tcPr>
            <w:tcW w:w="2308" w:type="dxa"/>
            <w:vMerge/>
            <w:tcBorders>
              <w:top w:val="nil"/>
              <w:left w:val="single" w:sz="8" w:space="0" w:color="auto"/>
              <w:bottom w:val="single" w:sz="4" w:space="0" w:color="000000"/>
              <w:right w:val="single" w:sz="8" w:space="0" w:color="auto"/>
            </w:tcBorders>
            <w:vAlign w:val="center"/>
            <w:hideMark/>
          </w:tcPr>
          <w:p w14:paraId="3AFD7756"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574" w:type="dxa"/>
            <w:tcBorders>
              <w:top w:val="nil"/>
              <w:left w:val="nil"/>
              <w:bottom w:val="single" w:sz="4" w:space="0" w:color="auto"/>
              <w:right w:val="single" w:sz="4" w:space="0" w:color="auto"/>
            </w:tcBorders>
            <w:shd w:val="clear" w:color="000000" w:fill="FFF2CC"/>
            <w:noWrap/>
            <w:vAlign w:val="bottom"/>
            <w:hideMark/>
          </w:tcPr>
          <w:p w14:paraId="28D7FA7B"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2013</w:t>
            </w:r>
          </w:p>
        </w:tc>
        <w:tc>
          <w:tcPr>
            <w:tcW w:w="927" w:type="dxa"/>
            <w:tcBorders>
              <w:top w:val="nil"/>
              <w:left w:val="nil"/>
              <w:bottom w:val="single" w:sz="4" w:space="0" w:color="auto"/>
              <w:right w:val="single" w:sz="4" w:space="0" w:color="auto"/>
            </w:tcBorders>
            <w:shd w:val="clear" w:color="000000" w:fill="FFF2CC"/>
            <w:noWrap/>
            <w:vAlign w:val="bottom"/>
            <w:hideMark/>
          </w:tcPr>
          <w:p w14:paraId="4943A5A3"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489,673</w:t>
            </w:r>
          </w:p>
        </w:tc>
        <w:tc>
          <w:tcPr>
            <w:tcW w:w="1054" w:type="dxa"/>
            <w:tcBorders>
              <w:top w:val="nil"/>
              <w:left w:val="single" w:sz="4" w:space="0" w:color="auto"/>
              <w:bottom w:val="single" w:sz="4" w:space="0" w:color="auto"/>
              <w:right w:val="nil"/>
            </w:tcBorders>
            <w:shd w:val="clear" w:color="000000" w:fill="FFF2CC"/>
            <w:noWrap/>
            <w:vAlign w:val="bottom"/>
            <w:hideMark/>
          </w:tcPr>
          <w:p w14:paraId="43364564"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494,534</w:t>
            </w:r>
          </w:p>
        </w:tc>
        <w:tc>
          <w:tcPr>
            <w:tcW w:w="1060" w:type="dxa"/>
            <w:tcBorders>
              <w:top w:val="nil"/>
              <w:left w:val="single" w:sz="8" w:space="0" w:color="auto"/>
              <w:bottom w:val="single" w:sz="4" w:space="0" w:color="auto"/>
              <w:right w:val="single" w:sz="8" w:space="0" w:color="auto"/>
            </w:tcBorders>
            <w:shd w:val="clear" w:color="000000" w:fill="D9E1F2"/>
            <w:noWrap/>
            <w:vAlign w:val="bottom"/>
            <w:hideMark/>
          </w:tcPr>
          <w:p w14:paraId="1410EBBE"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99.0%</w:t>
            </w:r>
          </w:p>
        </w:tc>
      </w:tr>
      <w:tr w:rsidR="00195D11" w:rsidRPr="000E1920" w14:paraId="17535E12" w14:textId="77777777" w:rsidTr="00154BBC">
        <w:trPr>
          <w:trHeight w:val="444"/>
        </w:trPr>
        <w:tc>
          <w:tcPr>
            <w:tcW w:w="2308" w:type="dxa"/>
            <w:vMerge/>
            <w:tcBorders>
              <w:top w:val="nil"/>
              <w:left w:val="single" w:sz="8" w:space="0" w:color="auto"/>
              <w:bottom w:val="single" w:sz="4" w:space="0" w:color="000000"/>
              <w:right w:val="single" w:sz="8" w:space="0" w:color="auto"/>
            </w:tcBorders>
            <w:vAlign w:val="center"/>
            <w:hideMark/>
          </w:tcPr>
          <w:p w14:paraId="28A107F8"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574" w:type="dxa"/>
            <w:tcBorders>
              <w:top w:val="nil"/>
              <w:left w:val="nil"/>
              <w:bottom w:val="single" w:sz="4" w:space="0" w:color="auto"/>
              <w:right w:val="single" w:sz="4" w:space="0" w:color="auto"/>
            </w:tcBorders>
            <w:shd w:val="clear" w:color="000000" w:fill="FFF2CC"/>
            <w:noWrap/>
            <w:vAlign w:val="bottom"/>
            <w:hideMark/>
          </w:tcPr>
          <w:p w14:paraId="44BB73CF"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2012</w:t>
            </w:r>
          </w:p>
        </w:tc>
        <w:tc>
          <w:tcPr>
            <w:tcW w:w="927" w:type="dxa"/>
            <w:tcBorders>
              <w:top w:val="nil"/>
              <w:left w:val="nil"/>
              <w:bottom w:val="single" w:sz="4" w:space="0" w:color="auto"/>
              <w:right w:val="single" w:sz="4" w:space="0" w:color="auto"/>
            </w:tcBorders>
            <w:shd w:val="clear" w:color="000000" w:fill="FFF2CC"/>
            <w:noWrap/>
            <w:vAlign w:val="bottom"/>
            <w:hideMark/>
          </w:tcPr>
          <w:p w14:paraId="30CE3023"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469,124</w:t>
            </w:r>
          </w:p>
        </w:tc>
        <w:tc>
          <w:tcPr>
            <w:tcW w:w="1054" w:type="dxa"/>
            <w:tcBorders>
              <w:top w:val="nil"/>
              <w:left w:val="single" w:sz="4" w:space="0" w:color="auto"/>
              <w:bottom w:val="single" w:sz="4" w:space="0" w:color="auto"/>
              <w:right w:val="nil"/>
            </w:tcBorders>
            <w:shd w:val="clear" w:color="000000" w:fill="FFF2CC"/>
            <w:noWrap/>
            <w:vAlign w:val="bottom"/>
            <w:hideMark/>
          </w:tcPr>
          <w:p w14:paraId="711975AB"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481,285</w:t>
            </w:r>
          </w:p>
        </w:tc>
        <w:tc>
          <w:tcPr>
            <w:tcW w:w="1060" w:type="dxa"/>
            <w:tcBorders>
              <w:top w:val="nil"/>
              <w:left w:val="single" w:sz="8" w:space="0" w:color="auto"/>
              <w:bottom w:val="single" w:sz="4" w:space="0" w:color="auto"/>
              <w:right w:val="single" w:sz="8" w:space="0" w:color="auto"/>
            </w:tcBorders>
            <w:shd w:val="clear" w:color="000000" w:fill="D9E1F2"/>
            <w:noWrap/>
            <w:vAlign w:val="bottom"/>
            <w:hideMark/>
          </w:tcPr>
          <w:p w14:paraId="78C421D8"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97.5%</w:t>
            </w:r>
          </w:p>
        </w:tc>
      </w:tr>
      <w:tr w:rsidR="00195D11" w:rsidRPr="000E1920" w14:paraId="16FF466C" w14:textId="77777777" w:rsidTr="00154BBC">
        <w:trPr>
          <w:trHeight w:val="300"/>
        </w:trPr>
        <w:tc>
          <w:tcPr>
            <w:tcW w:w="2308" w:type="dxa"/>
            <w:vMerge w:val="restart"/>
            <w:tcBorders>
              <w:top w:val="nil"/>
              <w:left w:val="single" w:sz="8" w:space="0" w:color="auto"/>
              <w:bottom w:val="single" w:sz="4" w:space="0" w:color="000000"/>
              <w:right w:val="single" w:sz="8" w:space="0" w:color="auto"/>
            </w:tcBorders>
            <w:shd w:val="clear" w:color="000000" w:fill="D9E1F2"/>
            <w:noWrap/>
            <w:vAlign w:val="center"/>
            <w:hideMark/>
          </w:tcPr>
          <w:p w14:paraId="744CA317"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center"/>
              <w:rPr>
                <w:rFonts w:ascii="Calibri" w:eastAsia="Times New Roman" w:hAnsi="Calibri"/>
                <w:sz w:val="20"/>
                <w:szCs w:val="20"/>
                <w:bdr w:val="none" w:sz="0" w:space="0" w:color="auto"/>
              </w:rPr>
            </w:pPr>
            <w:r>
              <w:rPr>
                <w:rFonts w:ascii="Calibri" w:hAnsi="Calibri"/>
                <w:sz w:val="20"/>
                <w:szCs w:val="20"/>
                <w:bdr w:val="none" w:sz="0" w:space="0" w:color="auto"/>
              </w:rPr>
              <w:t>TR positions – total</w:t>
            </w:r>
          </w:p>
        </w:tc>
        <w:tc>
          <w:tcPr>
            <w:tcW w:w="574" w:type="dxa"/>
            <w:tcBorders>
              <w:top w:val="nil"/>
              <w:left w:val="nil"/>
              <w:bottom w:val="single" w:sz="4" w:space="0" w:color="auto"/>
              <w:right w:val="single" w:sz="4" w:space="0" w:color="auto"/>
            </w:tcBorders>
            <w:shd w:val="clear" w:color="000000" w:fill="D9E1F2"/>
            <w:noWrap/>
            <w:vAlign w:val="bottom"/>
            <w:hideMark/>
          </w:tcPr>
          <w:p w14:paraId="3B199F4B"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2016</w:t>
            </w:r>
          </w:p>
        </w:tc>
        <w:tc>
          <w:tcPr>
            <w:tcW w:w="927" w:type="dxa"/>
            <w:tcBorders>
              <w:top w:val="nil"/>
              <w:left w:val="nil"/>
              <w:bottom w:val="single" w:sz="4" w:space="0" w:color="auto"/>
              <w:right w:val="single" w:sz="4" w:space="0" w:color="auto"/>
            </w:tcBorders>
            <w:shd w:val="clear" w:color="000000" w:fill="D9E1F2"/>
            <w:noWrap/>
            <w:vAlign w:val="bottom"/>
            <w:hideMark/>
          </w:tcPr>
          <w:p w14:paraId="495FB2D1"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598,633</w:t>
            </w:r>
          </w:p>
        </w:tc>
        <w:tc>
          <w:tcPr>
            <w:tcW w:w="1054" w:type="dxa"/>
            <w:tcBorders>
              <w:top w:val="nil"/>
              <w:left w:val="single" w:sz="4" w:space="0" w:color="auto"/>
              <w:bottom w:val="single" w:sz="4" w:space="0" w:color="auto"/>
              <w:right w:val="nil"/>
            </w:tcBorders>
            <w:shd w:val="clear" w:color="000000" w:fill="D9E1F2"/>
            <w:noWrap/>
            <w:vAlign w:val="bottom"/>
            <w:hideMark/>
          </w:tcPr>
          <w:p w14:paraId="775BE1C0"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626,422</w:t>
            </w:r>
          </w:p>
        </w:tc>
        <w:tc>
          <w:tcPr>
            <w:tcW w:w="1060" w:type="dxa"/>
            <w:tcBorders>
              <w:top w:val="nil"/>
              <w:left w:val="single" w:sz="8" w:space="0" w:color="auto"/>
              <w:bottom w:val="single" w:sz="4" w:space="0" w:color="auto"/>
              <w:right w:val="single" w:sz="8" w:space="0" w:color="auto"/>
            </w:tcBorders>
            <w:shd w:val="clear" w:color="000000" w:fill="FFF2CC"/>
            <w:noWrap/>
            <w:vAlign w:val="bottom"/>
            <w:hideMark/>
          </w:tcPr>
          <w:p w14:paraId="1AF07D2F"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95.6%</w:t>
            </w:r>
          </w:p>
        </w:tc>
      </w:tr>
      <w:tr w:rsidR="00195D11" w:rsidRPr="000E1920" w14:paraId="0627DF71" w14:textId="77777777" w:rsidTr="00154BBC">
        <w:trPr>
          <w:trHeight w:val="300"/>
        </w:trPr>
        <w:tc>
          <w:tcPr>
            <w:tcW w:w="2308" w:type="dxa"/>
            <w:vMerge/>
            <w:tcBorders>
              <w:top w:val="nil"/>
              <w:left w:val="single" w:sz="8" w:space="0" w:color="auto"/>
              <w:bottom w:val="single" w:sz="4" w:space="0" w:color="000000"/>
              <w:right w:val="single" w:sz="8" w:space="0" w:color="auto"/>
            </w:tcBorders>
            <w:vAlign w:val="center"/>
            <w:hideMark/>
          </w:tcPr>
          <w:p w14:paraId="5A3D689C"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574" w:type="dxa"/>
            <w:tcBorders>
              <w:top w:val="nil"/>
              <w:left w:val="nil"/>
              <w:bottom w:val="single" w:sz="4" w:space="0" w:color="auto"/>
              <w:right w:val="single" w:sz="4" w:space="0" w:color="auto"/>
            </w:tcBorders>
            <w:shd w:val="clear" w:color="000000" w:fill="D9E1F2"/>
            <w:noWrap/>
            <w:vAlign w:val="bottom"/>
            <w:hideMark/>
          </w:tcPr>
          <w:p w14:paraId="00E31E8A"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2015</w:t>
            </w:r>
          </w:p>
        </w:tc>
        <w:tc>
          <w:tcPr>
            <w:tcW w:w="927" w:type="dxa"/>
            <w:tcBorders>
              <w:top w:val="nil"/>
              <w:left w:val="single" w:sz="4" w:space="0" w:color="auto"/>
              <w:bottom w:val="single" w:sz="4" w:space="0" w:color="auto"/>
              <w:right w:val="single" w:sz="4" w:space="0" w:color="auto"/>
            </w:tcBorders>
            <w:shd w:val="clear" w:color="000000" w:fill="D9E1F2"/>
            <w:noWrap/>
            <w:vAlign w:val="bottom"/>
            <w:hideMark/>
          </w:tcPr>
          <w:p w14:paraId="4205B98C"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581,731</w:t>
            </w:r>
          </w:p>
        </w:tc>
        <w:tc>
          <w:tcPr>
            <w:tcW w:w="1054" w:type="dxa"/>
            <w:tcBorders>
              <w:top w:val="nil"/>
              <w:left w:val="single" w:sz="4" w:space="0" w:color="auto"/>
              <w:bottom w:val="single" w:sz="4" w:space="0" w:color="auto"/>
              <w:right w:val="nil"/>
            </w:tcBorders>
            <w:shd w:val="clear" w:color="000000" w:fill="D9E1F2"/>
            <w:noWrap/>
            <w:vAlign w:val="bottom"/>
            <w:hideMark/>
          </w:tcPr>
          <w:p w14:paraId="70ABF7DD"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612,085</w:t>
            </w:r>
          </w:p>
        </w:tc>
        <w:tc>
          <w:tcPr>
            <w:tcW w:w="1060" w:type="dxa"/>
            <w:tcBorders>
              <w:top w:val="nil"/>
              <w:left w:val="single" w:sz="8" w:space="0" w:color="auto"/>
              <w:bottom w:val="single" w:sz="4" w:space="0" w:color="auto"/>
              <w:right w:val="single" w:sz="8" w:space="0" w:color="auto"/>
            </w:tcBorders>
            <w:shd w:val="clear" w:color="000000" w:fill="FFF2CC"/>
            <w:noWrap/>
            <w:vAlign w:val="bottom"/>
            <w:hideMark/>
          </w:tcPr>
          <w:p w14:paraId="1050C87B"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95.0%</w:t>
            </w:r>
          </w:p>
        </w:tc>
      </w:tr>
      <w:tr w:rsidR="00195D11" w:rsidRPr="000E1920" w14:paraId="4ECB1AAD" w14:textId="77777777" w:rsidTr="00154BBC">
        <w:trPr>
          <w:trHeight w:val="300"/>
        </w:trPr>
        <w:tc>
          <w:tcPr>
            <w:tcW w:w="2308" w:type="dxa"/>
            <w:vMerge/>
            <w:tcBorders>
              <w:top w:val="nil"/>
              <w:left w:val="single" w:sz="8" w:space="0" w:color="auto"/>
              <w:bottom w:val="single" w:sz="4" w:space="0" w:color="000000"/>
              <w:right w:val="single" w:sz="8" w:space="0" w:color="auto"/>
            </w:tcBorders>
            <w:vAlign w:val="center"/>
            <w:hideMark/>
          </w:tcPr>
          <w:p w14:paraId="42B3B3D7"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574" w:type="dxa"/>
            <w:tcBorders>
              <w:top w:val="nil"/>
              <w:left w:val="nil"/>
              <w:bottom w:val="single" w:sz="4" w:space="0" w:color="auto"/>
              <w:right w:val="single" w:sz="4" w:space="0" w:color="auto"/>
            </w:tcBorders>
            <w:shd w:val="clear" w:color="000000" w:fill="D9E1F2"/>
            <w:noWrap/>
            <w:vAlign w:val="bottom"/>
            <w:hideMark/>
          </w:tcPr>
          <w:p w14:paraId="03070505"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2014</w:t>
            </w:r>
          </w:p>
        </w:tc>
        <w:tc>
          <w:tcPr>
            <w:tcW w:w="927" w:type="dxa"/>
            <w:tcBorders>
              <w:top w:val="nil"/>
              <w:left w:val="nil"/>
              <w:bottom w:val="single" w:sz="4" w:space="0" w:color="auto"/>
              <w:right w:val="single" w:sz="4" w:space="0" w:color="auto"/>
            </w:tcBorders>
            <w:shd w:val="clear" w:color="000000" w:fill="D9E1F2"/>
            <w:noWrap/>
            <w:vAlign w:val="bottom"/>
            <w:hideMark/>
          </w:tcPr>
          <w:p w14:paraId="4BEB3C5D"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582,603</w:t>
            </w:r>
          </w:p>
        </w:tc>
        <w:tc>
          <w:tcPr>
            <w:tcW w:w="1054" w:type="dxa"/>
            <w:tcBorders>
              <w:top w:val="nil"/>
              <w:left w:val="single" w:sz="4" w:space="0" w:color="auto"/>
              <w:bottom w:val="single" w:sz="4" w:space="0" w:color="auto"/>
              <w:right w:val="nil"/>
            </w:tcBorders>
            <w:shd w:val="clear" w:color="000000" w:fill="D9E1F2"/>
            <w:noWrap/>
            <w:vAlign w:val="bottom"/>
            <w:hideMark/>
          </w:tcPr>
          <w:p w14:paraId="1A779D0B"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612,244</w:t>
            </w:r>
          </w:p>
        </w:tc>
        <w:tc>
          <w:tcPr>
            <w:tcW w:w="1060" w:type="dxa"/>
            <w:tcBorders>
              <w:top w:val="nil"/>
              <w:left w:val="single" w:sz="8" w:space="0" w:color="auto"/>
              <w:bottom w:val="single" w:sz="4" w:space="0" w:color="auto"/>
              <w:right w:val="single" w:sz="8" w:space="0" w:color="auto"/>
            </w:tcBorders>
            <w:shd w:val="clear" w:color="000000" w:fill="FFF2CC"/>
            <w:noWrap/>
            <w:vAlign w:val="bottom"/>
            <w:hideMark/>
          </w:tcPr>
          <w:p w14:paraId="79D07FFE"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95.2%</w:t>
            </w:r>
          </w:p>
        </w:tc>
      </w:tr>
      <w:tr w:rsidR="00195D11" w:rsidRPr="000E1920" w14:paraId="14DB2748" w14:textId="77777777" w:rsidTr="00154BBC">
        <w:trPr>
          <w:trHeight w:val="300"/>
        </w:trPr>
        <w:tc>
          <w:tcPr>
            <w:tcW w:w="2308" w:type="dxa"/>
            <w:vMerge/>
            <w:tcBorders>
              <w:top w:val="nil"/>
              <w:left w:val="single" w:sz="8" w:space="0" w:color="auto"/>
              <w:bottom w:val="single" w:sz="4" w:space="0" w:color="000000"/>
              <w:right w:val="single" w:sz="8" w:space="0" w:color="auto"/>
            </w:tcBorders>
            <w:vAlign w:val="center"/>
            <w:hideMark/>
          </w:tcPr>
          <w:p w14:paraId="60CB2BCC"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574" w:type="dxa"/>
            <w:tcBorders>
              <w:top w:val="nil"/>
              <w:left w:val="nil"/>
              <w:bottom w:val="single" w:sz="4" w:space="0" w:color="auto"/>
              <w:right w:val="single" w:sz="4" w:space="0" w:color="auto"/>
            </w:tcBorders>
            <w:shd w:val="clear" w:color="000000" w:fill="D9E1F2"/>
            <w:noWrap/>
            <w:vAlign w:val="bottom"/>
            <w:hideMark/>
          </w:tcPr>
          <w:p w14:paraId="6D5C1FDA"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2013</w:t>
            </w:r>
          </w:p>
        </w:tc>
        <w:tc>
          <w:tcPr>
            <w:tcW w:w="927" w:type="dxa"/>
            <w:tcBorders>
              <w:top w:val="nil"/>
              <w:left w:val="nil"/>
              <w:bottom w:val="single" w:sz="4" w:space="0" w:color="auto"/>
              <w:right w:val="single" w:sz="4" w:space="0" w:color="auto"/>
            </w:tcBorders>
            <w:shd w:val="clear" w:color="000000" w:fill="D9E1F2"/>
            <w:noWrap/>
            <w:vAlign w:val="bottom"/>
            <w:hideMark/>
          </w:tcPr>
          <w:p w14:paraId="45F83F5E"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553,789</w:t>
            </w:r>
          </w:p>
        </w:tc>
        <w:tc>
          <w:tcPr>
            <w:tcW w:w="1054" w:type="dxa"/>
            <w:tcBorders>
              <w:top w:val="nil"/>
              <w:left w:val="single" w:sz="4" w:space="0" w:color="auto"/>
              <w:bottom w:val="single" w:sz="4" w:space="0" w:color="auto"/>
              <w:right w:val="nil"/>
            </w:tcBorders>
            <w:shd w:val="clear" w:color="000000" w:fill="D9E1F2"/>
            <w:noWrap/>
            <w:vAlign w:val="bottom"/>
            <w:hideMark/>
          </w:tcPr>
          <w:p w14:paraId="5FA3C8DF"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582,625</w:t>
            </w:r>
          </w:p>
        </w:tc>
        <w:tc>
          <w:tcPr>
            <w:tcW w:w="1060" w:type="dxa"/>
            <w:tcBorders>
              <w:top w:val="nil"/>
              <w:left w:val="single" w:sz="8" w:space="0" w:color="auto"/>
              <w:bottom w:val="single" w:sz="4" w:space="0" w:color="auto"/>
              <w:right w:val="single" w:sz="8" w:space="0" w:color="auto"/>
            </w:tcBorders>
            <w:shd w:val="clear" w:color="000000" w:fill="FFF2CC"/>
            <w:noWrap/>
            <w:vAlign w:val="bottom"/>
            <w:hideMark/>
          </w:tcPr>
          <w:p w14:paraId="295DF70B"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95.1%</w:t>
            </w:r>
          </w:p>
        </w:tc>
      </w:tr>
      <w:tr w:rsidR="00195D11" w:rsidRPr="000E1920" w14:paraId="7BBEA786" w14:textId="77777777" w:rsidTr="00154BBC">
        <w:trPr>
          <w:trHeight w:val="458"/>
        </w:trPr>
        <w:tc>
          <w:tcPr>
            <w:tcW w:w="2308" w:type="dxa"/>
            <w:vMerge/>
            <w:tcBorders>
              <w:top w:val="nil"/>
              <w:left w:val="single" w:sz="8" w:space="0" w:color="auto"/>
              <w:bottom w:val="single" w:sz="4" w:space="0" w:color="000000"/>
              <w:right w:val="single" w:sz="8" w:space="0" w:color="auto"/>
            </w:tcBorders>
            <w:vAlign w:val="center"/>
            <w:hideMark/>
          </w:tcPr>
          <w:p w14:paraId="367EB72B"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Calibri" w:eastAsia="Times New Roman" w:hAnsi="Calibri"/>
                <w:sz w:val="20"/>
                <w:szCs w:val="20"/>
                <w:bdr w:val="none" w:sz="0" w:space="0" w:color="auto"/>
                <w:lang w:eastAsia="nb-NO"/>
              </w:rPr>
            </w:pPr>
          </w:p>
        </w:tc>
        <w:tc>
          <w:tcPr>
            <w:tcW w:w="574" w:type="dxa"/>
            <w:tcBorders>
              <w:top w:val="nil"/>
              <w:left w:val="nil"/>
              <w:bottom w:val="single" w:sz="4" w:space="0" w:color="auto"/>
              <w:right w:val="single" w:sz="4" w:space="0" w:color="auto"/>
            </w:tcBorders>
            <w:shd w:val="clear" w:color="000000" w:fill="D9E1F2"/>
            <w:noWrap/>
            <w:vAlign w:val="bottom"/>
            <w:hideMark/>
          </w:tcPr>
          <w:p w14:paraId="3645C76F"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2012</w:t>
            </w:r>
          </w:p>
        </w:tc>
        <w:tc>
          <w:tcPr>
            <w:tcW w:w="927" w:type="dxa"/>
            <w:tcBorders>
              <w:top w:val="nil"/>
              <w:left w:val="nil"/>
              <w:bottom w:val="single" w:sz="4" w:space="0" w:color="auto"/>
              <w:right w:val="single" w:sz="4" w:space="0" w:color="auto"/>
            </w:tcBorders>
            <w:shd w:val="clear" w:color="000000" w:fill="D9E1F2"/>
            <w:noWrap/>
            <w:vAlign w:val="bottom"/>
            <w:hideMark/>
          </w:tcPr>
          <w:p w14:paraId="611B9DE6"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539,333</w:t>
            </w:r>
          </w:p>
        </w:tc>
        <w:tc>
          <w:tcPr>
            <w:tcW w:w="1054" w:type="dxa"/>
            <w:tcBorders>
              <w:top w:val="nil"/>
              <w:left w:val="single" w:sz="4" w:space="0" w:color="auto"/>
              <w:bottom w:val="single" w:sz="4" w:space="0" w:color="auto"/>
              <w:right w:val="nil"/>
            </w:tcBorders>
            <w:shd w:val="clear" w:color="000000" w:fill="D9E1F2"/>
            <w:noWrap/>
            <w:vAlign w:val="bottom"/>
            <w:hideMark/>
          </w:tcPr>
          <w:p w14:paraId="7B8575AA"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571,311</w:t>
            </w:r>
          </w:p>
        </w:tc>
        <w:tc>
          <w:tcPr>
            <w:tcW w:w="1060" w:type="dxa"/>
            <w:tcBorders>
              <w:top w:val="nil"/>
              <w:left w:val="single" w:sz="8" w:space="0" w:color="auto"/>
              <w:bottom w:val="single" w:sz="4" w:space="0" w:color="auto"/>
              <w:right w:val="single" w:sz="8" w:space="0" w:color="auto"/>
            </w:tcBorders>
            <w:shd w:val="clear" w:color="000000" w:fill="FFF2CC"/>
            <w:noWrap/>
            <w:vAlign w:val="bottom"/>
            <w:hideMark/>
          </w:tcPr>
          <w:p w14:paraId="49FFF74A" w14:textId="77777777" w:rsidR="00154BBC" w:rsidRPr="000E1920" w:rsidRDefault="00154BBC" w:rsidP="007B350F">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right"/>
              <w:rPr>
                <w:rFonts w:ascii="Calibri" w:eastAsia="Times New Roman" w:hAnsi="Calibri"/>
                <w:sz w:val="20"/>
                <w:szCs w:val="20"/>
                <w:bdr w:val="none" w:sz="0" w:space="0" w:color="auto"/>
              </w:rPr>
            </w:pPr>
            <w:r>
              <w:rPr>
                <w:rFonts w:ascii="Calibri" w:hAnsi="Calibri"/>
                <w:sz w:val="20"/>
                <w:szCs w:val="20"/>
                <w:bdr w:val="none" w:sz="0" w:space="0" w:color="auto"/>
              </w:rPr>
              <w:t>94.4%</w:t>
            </w:r>
          </w:p>
        </w:tc>
      </w:tr>
    </w:tbl>
    <w:p w14:paraId="75BBD90E" w14:textId="2B4C4B20" w:rsidR="00AE2E8D" w:rsidRPr="0098031C" w:rsidRDefault="00EE4311" w:rsidP="000A69A6">
      <w:pPr>
        <w:pStyle w:val="Brdtekst1"/>
        <w:rPr>
          <w:rFonts w:eastAsia="Arial Unicode MS" w:cs="Times New Roman"/>
          <w:color w:val="auto"/>
        </w:rPr>
      </w:pPr>
      <w:r>
        <w:rPr>
          <w:color w:val="auto"/>
        </w:rPr>
        <w:t>Source: SAP</w:t>
      </w:r>
    </w:p>
    <w:p w14:paraId="2FD6B018" w14:textId="4917A9B6" w:rsidR="00B02298" w:rsidRPr="0098031C" w:rsidRDefault="00154BBC" w:rsidP="000A69A6">
      <w:pPr>
        <w:pStyle w:val="Brdtekst1"/>
        <w:rPr>
          <w:rFonts w:eastAsia="Arial Unicode MS" w:cs="Times New Roman"/>
          <w:color w:val="auto"/>
        </w:rPr>
      </w:pPr>
      <w:r>
        <w:rPr>
          <w:color w:val="auto"/>
        </w:rPr>
        <w:t>In 2016, women on average earned a little more than men in the job categories programme coordinators, associate professors (</w:t>
      </w:r>
      <w:proofErr w:type="spellStart"/>
      <w:r>
        <w:rPr>
          <w:i/>
          <w:color w:val="auto"/>
        </w:rPr>
        <w:t>førstelektor</w:t>
      </w:r>
      <w:proofErr w:type="spellEnd"/>
      <w:r>
        <w:rPr>
          <w:color w:val="auto"/>
        </w:rPr>
        <w:t xml:space="preserve">), assistant professors, heads of department, heads of section and PhD research fellows (see Appendix 4). The pay statistics show that there are no systematic differences in the average pay between men and women at </w:t>
      </w:r>
      <w:proofErr w:type="spellStart"/>
      <w:r>
        <w:rPr>
          <w:color w:val="auto"/>
        </w:rPr>
        <w:t>HiOA</w:t>
      </w:r>
      <w:proofErr w:type="spellEnd"/>
      <w:r>
        <w:rPr>
          <w:color w:val="auto"/>
        </w:rPr>
        <w:t xml:space="preserve">. Wage developments broken down by gender are monitored through local pay negotiations, and the Board of </w:t>
      </w:r>
      <w:proofErr w:type="spellStart"/>
      <w:r>
        <w:rPr>
          <w:color w:val="auto"/>
        </w:rPr>
        <w:t>HiOA</w:t>
      </w:r>
      <w:proofErr w:type="spellEnd"/>
      <w:r>
        <w:rPr>
          <w:color w:val="auto"/>
        </w:rPr>
        <w:t xml:space="preserve"> made a decision in autumn 2016 to specify in the Rector’s negotiation authorisation that particular attention shall be given to any differences in pay that could be explained by gender. Male and female staff at </w:t>
      </w:r>
      <w:proofErr w:type="spellStart"/>
      <w:r>
        <w:rPr>
          <w:color w:val="auto"/>
        </w:rPr>
        <w:t>HiOA</w:t>
      </w:r>
      <w:proofErr w:type="spellEnd"/>
      <w:r>
        <w:rPr>
          <w:color w:val="auto"/>
        </w:rPr>
        <w:t xml:space="preserve"> shall receive equal pay for equal work or work of equal value.</w:t>
      </w:r>
      <w:r w:rsidR="0010168A" w:rsidRPr="0098031C">
        <w:rPr>
          <w:rStyle w:val="Fotnotereferanse"/>
          <w:rFonts w:eastAsia="Arial Unicode MS" w:cs="Times New Roman"/>
          <w:color w:val="auto"/>
          <w:lang w:eastAsia="en-US"/>
        </w:rPr>
        <w:footnoteReference w:id="6"/>
      </w:r>
      <w:r w:rsidR="0076241A">
        <w:rPr>
          <w:color w:val="auto"/>
        </w:rPr>
        <w:t xml:space="preserve"> </w:t>
      </w:r>
    </w:p>
    <w:p w14:paraId="4AA36716" w14:textId="7E865ADA" w:rsidR="00FB7574" w:rsidRPr="000E1920" w:rsidRDefault="00FB7574">
      <w:pPr>
        <w:rPr>
          <w:rFonts w:ascii="Calibri" w:hAnsi="Calibri"/>
          <w:sz w:val="22"/>
          <w:szCs w:val="22"/>
        </w:rPr>
      </w:pPr>
      <w:r>
        <w:br w:type="page"/>
      </w:r>
    </w:p>
    <w:p w14:paraId="03585E3A" w14:textId="77777777" w:rsidR="00A96373" w:rsidRPr="000E1920" w:rsidRDefault="00A96373" w:rsidP="000A69A6">
      <w:pPr>
        <w:spacing w:line="276" w:lineRule="auto"/>
        <w:rPr>
          <w:rFonts w:ascii="Calibri" w:hAnsi="Calibri"/>
          <w:sz w:val="22"/>
          <w:szCs w:val="22"/>
        </w:rPr>
      </w:pPr>
    </w:p>
    <w:p w14:paraId="3DF5973D" w14:textId="76E08E9F" w:rsidR="008967B5" w:rsidRPr="000E1920" w:rsidRDefault="002409CB" w:rsidP="000A69A6">
      <w:pPr>
        <w:pStyle w:val="Overskrift2"/>
        <w:spacing w:line="276" w:lineRule="auto"/>
        <w:rPr>
          <w:b/>
          <w:color w:val="auto"/>
          <w:sz w:val="20"/>
          <w:szCs w:val="20"/>
        </w:rPr>
      </w:pPr>
      <w:bookmarkStart w:id="21" w:name="_Toc472263962"/>
      <w:bookmarkStart w:id="22" w:name="_Toc479234160"/>
      <w:r>
        <w:rPr>
          <w:color w:val="auto"/>
        </w:rPr>
        <w:t>2.2 Ethnicity</w:t>
      </w:r>
      <w:bookmarkEnd w:id="21"/>
      <w:bookmarkEnd w:id="22"/>
      <w:r>
        <w:rPr>
          <w:b/>
          <w:color w:val="auto"/>
          <w:sz w:val="20"/>
          <w:szCs w:val="20"/>
        </w:rPr>
        <w:t xml:space="preserve"> </w:t>
      </w:r>
    </w:p>
    <w:p w14:paraId="11B7C931" w14:textId="7EC9A7A7" w:rsidR="008967B5" w:rsidRPr="000D629E" w:rsidRDefault="008967B5" w:rsidP="000A69A6">
      <w:pPr>
        <w:spacing w:line="276" w:lineRule="auto"/>
        <w:rPr>
          <w:rFonts w:ascii="Calibri" w:hAnsi="Calibri"/>
          <w:sz w:val="22"/>
          <w:szCs w:val="22"/>
        </w:rPr>
      </w:pPr>
      <w:r>
        <w:rPr>
          <w:rFonts w:ascii="Calibri" w:hAnsi="Calibri"/>
          <w:sz w:val="22"/>
          <w:szCs w:val="22"/>
        </w:rPr>
        <w:t xml:space="preserve">Ethnicity refers to the identification of groups distinguished by differences in origin and culture. It is about socially relevant differences, where the perception of origin and differences may also be key factors, and which it may be difficult to operationalise and apply in policy development. </w:t>
      </w:r>
    </w:p>
    <w:p w14:paraId="52AE21F5" w14:textId="350FEF8C" w:rsidR="008967B5" w:rsidRDefault="008967B5" w:rsidP="000A69A6">
      <w:pPr>
        <w:spacing w:line="276" w:lineRule="auto"/>
        <w:rPr>
          <w:rFonts w:ascii="Calibri" w:hAnsi="Calibri"/>
        </w:rPr>
      </w:pPr>
    </w:p>
    <w:p w14:paraId="3F658AB4" w14:textId="481979DF" w:rsidR="006D6D2C" w:rsidRPr="006D6D2C" w:rsidRDefault="006D6D2C" w:rsidP="000A69A6">
      <w:pPr>
        <w:spacing w:line="276" w:lineRule="auto"/>
        <w:rPr>
          <w:rFonts w:ascii="Calibri" w:hAnsi="Calibri"/>
          <w:b/>
        </w:rPr>
      </w:pPr>
      <w:r>
        <w:rPr>
          <w:rFonts w:ascii="Calibri" w:hAnsi="Calibri"/>
          <w:b/>
        </w:rPr>
        <w:t>Terms used</w:t>
      </w:r>
    </w:p>
    <w:p w14:paraId="7D59A6F1" w14:textId="00142496" w:rsidR="004A220E" w:rsidRPr="000D629E" w:rsidRDefault="008967B5" w:rsidP="000A69A6">
      <w:pPr>
        <w:spacing w:line="276" w:lineRule="auto"/>
        <w:rPr>
          <w:rFonts w:ascii="Calibri" w:hAnsi="Calibri"/>
          <w:sz w:val="22"/>
          <w:szCs w:val="22"/>
        </w:rPr>
      </w:pPr>
      <w:r>
        <w:rPr>
          <w:rFonts w:ascii="Calibri" w:hAnsi="Calibri"/>
          <w:sz w:val="22"/>
          <w:szCs w:val="22"/>
        </w:rPr>
        <w:t xml:space="preserve">In </w:t>
      </w:r>
      <w:proofErr w:type="spellStart"/>
      <w:r>
        <w:rPr>
          <w:rFonts w:ascii="Calibri" w:hAnsi="Calibri"/>
          <w:sz w:val="22"/>
          <w:szCs w:val="22"/>
        </w:rPr>
        <w:t>HiOA's</w:t>
      </w:r>
      <w:proofErr w:type="spellEnd"/>
      <w:r>
        <w:rPr>
          <w:rFonts w:ascii="Calibri" w:hAnsi="Calibri"/>
          <w:sz w:val="22"/>
          <w:szCs w:val="22"/>
        </w:rPr>
        <w:t xml:space="preserve"> preparation of a diversity action plan, it can be challenging to choose words and terms that are as precise and accurate as possible without creating distance and a feeling of exclusion. The term ethnicity is often used to denote a social category based on national origin, descent, skin colour, language, religion, or a combination of these factors. In Norway, we usually distinguish between indigenous peoples, national minorities, immigrants and children of immigrants. These categories do not encompass all forms of ethnic diversity. This action plan aims to contribute to inclusion and combat all forms of unjustified differential treatment on grounds of ethnicity. This means both being aware of this factor in connection with appointment processes and increasing knowledge in this field among our students. We also see a need to set ourselves concrete quantified targets and monitor developments in relation to these targets. Based on the data available, these targets will be set in relation to immigrants and children of immigrants as this group is defined in the Nordic Institute for Studies in Innovation, Research and Education's (NIFU) diversity statistics (cf. NIFU’s working memo 2016:10).</w:t>
      </w:r>
    </w:p>
    <w:p w14:paraId="73665DD0" w14:textId="3F0FC93D" w:rsidR="008967B5" w:rsidRDefault="008967B5" w:rsidP="000A69A6">
      <w:pPr>
        <w:spacing w:line="276" w:lineRule="auto"/>
        <w:rPr>
          <w:rFonts w:ascii="Calibri" w:hAnsi="Calibri"/>
        </w:rPr>
      </w:pPr>
    </w:p>
    <w:p w14:paraId="5BA7FA75" w14:textId="18D2FAAC" w:rsidR="006D6D2C" w:rsidRPr="006D6D2C" w:rsidRDefault="006D6D2C" w:rsidP="000A69A6">
      <w:pPr>
        <w:spacing w:line="276" w:lineRule="auto"/>
        <w:rPr>
          <w:rFonts w:ascii="Calibri" w:hAnsi="Calibri"/>
          <w:b/>
        </w:rPr>
      </w:pPr>
      <w:r>
        <w:rPr>
          <w:rFonts w:ascii="Calibri" w:hAnsi="Calibri"/>
          <w:b/>
        </w:rPr>
        <w:t>Definition of ‘people from immigrant backgrounds’</w:t>
      </w:r>
    </w:p>
    <w:p w14:paraId="6528733A" w14:textId="5FABFD31" w:rsidR="0013744A" w:rsidRDefault="008967B5" w:rsidP="000A69A6">
      <w:pPr>
        <w:spacing w:line="276" w:lineRule="auto"/>
        <w:rPr>
          <w:rFonts w:ascii="Calibri" w:hAnsi="Calibri"/>
          <w:sz w:val="22"/>
          <w:szCs w:val="22"/>
        </w:rPr>
      </w:pPr>
      <w:r>
        <w:rPr>
          <w:rFonts w:ascii="Calibri" w:hAnsi="Calibri"/>
          <w:sz w:val="22"/>
          <w:szCs w:val="22"/>
        </w:rPr>
        <w:t xml:space="preserve">People from immigrant backgrounds includes </w:t>
      </w:r>
      <w:r>
        <w:rPr>
          <w:rFonts w:ascii="Calibri" w:hAnsi="Calibri"/>
          <w:i/>
          <w:sz w:val="22"/>
          <w:szCs w:val="22"/>
        </w:rPr>
        <w:t>both</w:t>
      </w:r>
      <w:r>
        <w:rPr>
          <w:rFonts w:ascii="Calibri" w:hAnsi="Calibri"/>
          <w:sz w:val="22"/>
          <w:szCs w:val="22"/>
        </w:rPr>
        <w:t xml:space="preserve"> 'immigrants', people with two foreign-born parents who have immigrated themselves, </w:t>
      </w:r>
      <w:r>
        <w:rPr>
          <w:rFonts w:ascii="Calibri" w:hAnsi="Calibri"/>
          <w:i/>
          <w:sz w:val="22"/>
          <w:szCs w:val="22"/>
        </w:rPr>
        <w:t>and</w:t>
      </w:r>
      <w:r>
        <w:rPr>
          <w:rFonts w:ascii="Calibri" w:hAnsi="Calibri"/>
          <w:sz w:val="22"/>
          <w:szCs w:val="22"/>
        </w:rPr>
        <w:t xml:space="preserve"> 'Norwegian-born persons to immigrant parents', i.e. people who were born and grew up in Norway who have two foreign-born parents. People from non-Western backgrounds are at particular risk of facing challenges because of their ethnicity. </w:t>
      </w:r>
      <w:proofErr w:type="spellStart"/>
      <w:r>
        <w:rPr>
          <w:rFonts w:ascii="Calibri" w:hAnsi="Calibri"/>
          <w:sz w:val="22"/>
          <w:szCs w:val="22"/>
        </w:rPr>
        <w:t>HiOA</w:t>
      </w:r>
      <w:proofErr w:type="spellEnd"/>
      <w:r>
        <w:rPr>
          <w:rFonts w:ascii="Calibri" w:hAnsi="Calibri"/>
          <w:sz w:val="22"/>
          <w:szCs w:val="22"/>
        </w:rPr>
        <w:t xml:space="preserve"> therefore has a particular responsibility for its students and employees in this group. During the work on this plan, the Faculty of Health Sciences (HF) pointed out that particular attention should be given to the increase in immigration from countries outside the EEA. Is this a group with a particular need for language tuition? What formal competence do they have from their country of origin, and can </w:t>
      </w:r>
      <w:proofErr w:type="spellStart"/>
      <w:r>
        <w:rPr>
          <w:rFonts w:ascii="Calibri" w:hAnsi="Calibri"/>
          <w:sz w:val="22"/>
          <w:szCs w:val="22"/>
        </w:rPr>
        <w:t>HiOA</w:t>
      </w:r>
      <w:proofErr w:type="spellEnd"/>
      <w:r>
        <w:rPr>
          <w:rFonts w:ascii="Calibri" w:hAnsi="Calibri"/>
          <w:sz w:val="22"/>
          <w:szCs w:val="22"/>
        </w:rPr>
        <w:t xml:space="preserve"> make their transition into the labour market easier by offering complementary education programmes? It is proposed that these questions should be addressed in local faculty action plans based on a common template developed by the central HR department. The local action plans should be linked to the interfaculty institution plan.</w:t>
      </w:r>
      <w:r w:rsidR="0076241A">
        <w:rPr>
          <w:rFonts w:ascii="Calibri" w:hAnsi="Calibri"/>
          <w:sz w:val="22"/>
          <w:szCs w:val="22"/>
        </w:rPr>
        <w:t xml:space="preserve"> </w:t>
      </w:r>
    </w:p>
    <w:p w14:paraId="62AE7750" w14:textId="77777777" w:rsidR="0013744A" w:rsidRDefault="0013744A" w:rsidP="000A69A6">
      <w:pPr>
        <w:spacing w:line="276" w:lineRule="auto"/>
        <w:rPr>
          <w:rFonts w:ascii="Calibri" w:hAnsi="Calibri"/>
          <w:sz w:val="22"/>
          <w:szCs w:val="22"/>
        </w:rPr>
      </w:pPr>
    </w:p>
    <w:p w14:paraId="111CB338" w14:textId="69A16115" w:rsidR="00761866" w:rsidRPr="002649F6" w:rsidRDefault="00477541" w:rsidP="000A69A6">
      <w:pPr>
        <w:spacing w:line="276" w:lineRule="auto"/>
        <w:rPr>
          <w:rFonts w:ascii="Calibri" w:hAnsi="Calibri"/>
          <w:sz w:val="22"/>
          <w:szCs w:val="22"/>
        </w:rPr>
      </w:pPr>
      <w:r>
        <w:rPr>
          <w:rFonts w:ascii="Calibri" w:hAnsi="Calibri"/>
          <w:sz w:val="22"/>
          <w:szCs w:val="22"/>
        </w:rPr>
        <w:t xml:space="preserve">NIFU’s statistics do not distinguish between immigrants or their descendants who have taken their whole education in Norway and those who arrive through international recruitment. The latter group is growing at </w:t>
      </w:r>
      <w:proofErr w:type="spellStart"/>
      <w:r>
        <w:rPr>
          <w:rFonts w:ascii="Calibri" w:hAnsi="Calibri"/>
          <w:sz w:val="22"/>
          <w:szCs w:val="22"/>
        </w:rPr>
        <w:t>HiOA</w:t>
      </w:r>
      <w:proofErr w:type="spellEnd"/>
      <w:r>
        <w:rPr>
          <w:rFonts w:ascii="Calibri" w:hAnsi="Calibri"/>
          <w:sz w:val="22"/>
          <w:szCs w:val="22"/>
        </w:rPr>
        <w:t xml:space="preserve"> as a result of, among other things, the institution's internationalisation strategy and its ambition to achieve university status. </w:t>
      </w:r>
    </w:p>
    <w:p w14:paraId="253935D7" w14:textId="630DC2F5" w:rsidR="00ED1D9D" w:rsidRDefault="00ED1D9D" w:rsidP="000A69A6">
      <w:pPr>
        <w:spacing w:line="276" w:lineRule="auto"/>
        <w:rPr>
          <w:rFonts w:ascii="Calibri" w:hAnsi="Calibri"/>
        </w:rPr>
      </w:pPr>
      <w:r>
        <w:rPr>
          <w:rFonts w:ascii="Calibri" w:hAnsi="Calibri"/>
        </w:rPr>
        <w:t xml:space="preserve"> </w:t>
      </w:r>
    </w:p>
    <w:p w14:paraId="21FD2897" w14:textId="5DBD2D0D" w:rsidR="00E85446" w:rsidRPr="00E85446" w:rsidRDefault="00E85446" w:rsidP="000A69A6">
      <w:pPr>
        <w:spacing w:line="276" w:lineRule="auto"/>
        <w:rPr>
          <w:rFonts w:ascii="Calibri" w:hAnsi="Calibri"/>
          <w:b/>
        </w:rPr>
      </w:pPr>
      <w:r>
        <w:rPr>
          <w:rFonts w:ascii="Calibri" w:hAnsi="Calibri"/>
          <w:b/>
        </w:rPr>
        <w:t>Employees from immigrant backgrounds in Norwegian research and higher education</w:t>
      </w:r>
    </w:p>
    <w:p w14:paraId="15141DD9" w14:textId="4DFAFB93" w:rsidR="005F747F" w:rsidRPr="002649F6" w:rsidRDefault="00761866" w:rsidP="000A69A6">
      <w:pPr>
        <w:spacing w:line="276" w:lineRule="auto"/>
        <w:rPr>
          <w:rFonts w:ascii="Calibri" w:hAnsi="Calibri"/>
          <w:sz w:val="22"/>
          <w:szCs w:val="22"/>
        </w:rPr>
      </w:pPr>
      <w:r>
        <w:rPr>
          <w:rFonts w:ascii="Calibri" w:hAnsi="Calibri"/>
          <w:sz w:val="22"/>
          <w:szCs w:val="22"/>
        </w:rPr>
        <w:t xml:space="preserve">At present, </w:t>
      </w:r>
      <w:proofErr w:type="spellStart"/>
      <w:r>
        <w:rPr>
          <w:rFonts w:ascii="Calibri" w:hAnsi="Calibri"/>
          <w:sz w:val="22"/>
          <w:szCs w:val="22"/>
        </w:rPr>
        <w:t>HiOA</w:t>
      </w:r>
      <w:proofErr w:type="spellEnd"/>
      <w:r>
        <w:rPr>
          <w:rFonts w:ascii="Calibri" w:hAnsi="Calibri"/>
          <w:sz w:val="22"/>
          <w:szCs w:val="22"/>
        </w:rPr>
        <w:t xml:space="preserve"> does not have any systematic information about employees from immigrant or foreign backgrounds. </w:t>
      </w:r>
      <w:proofErr w:type="spellStart"/>
      <w:r>
        <w:rPr>
          <w:rFonts w:ascii="Calibri" w:hAnsi="Calibri"/>
          <w:sz w:val="22"/>
          <w:szCs w:val="22"/>
        </w:rPr>
        <w:t>HiOA</w:t>
      </w:r>
      <w:proofErr w:type="spellEnd"/>
      <w:r>
        <w:rPr>
          <w:rFonts w:ascii="Calibri" w:hAnsi="Calibri"/>
          <w:sz w:val="22"/>
          <w:szCs w:val="22"/>
        </w:rPr>
        <w:t xml:space="preserve"> is not unique in this respect. There are no systematic statistics of immigrant employees in the university, university college and institute sector in general. The available statistics are mostly studies that provide a snapshot of the situation at a particular time, and there are few time series that show development trends.</w:t>
      </w:r>
      <w:r w:rsidR="0076241A">
        <w:rPr>
          <w:rFonts w:ascii="Calibri" w:hAnsi="Calibri"/>
          <w:sz w:val="22"/>
          <w:szCs w:val="22"/>
        </w:rPr>
        <w:t xml:space="preserve"> </w:t>
      </w:r>
      <w:r>
        <w:rPr>
          <w:rFonts w:ascii="Calibri" w:hAnsi="Calibri"/>
          <w:sz w:val="22"/>
          <w:szCs w:val="22"/>
        </w:rPr>
        <w:t>This was the reason why the Nordic Institute for Studies in Innovation, Research and Education (NIFU) and Statistics Norway prepared diversity statistics in 2016 to show the proportion of immigrants and descendants of immigrants in research and higher education in Norway.</w:t>
      </w:r>
      <w:r w:rsidR="00E0367F" w:rsidRPr="002649F6">
        <w:rPr>
          <w:rStyle w:val="Fotnotereferanse"/>
          <w:rFonts w:ascii="Calibri" w:hAnsi="Calibri"/>
          <w:sz w:val="22"/>
          <w:szCs w:val="22"/>
        </w:rPr>
        <w:footnoteReference w:id="7"/>
      </w:r>
      <w:r>
        <w:rPr>
          <w:rFonts w:ascii="Calibri" w:hAnsi="Calibri"/>
          <w:sz w:val="22"/>
          <w:szCs w:val="22"/>
        </w:rPr>
        <w:t xml:space="preserve"> These statistics were prepared on assignment from the Ministry of </w:t>
      </w:r>
      <w:r>
        <w:rPr>
          <w:rFonts w:ascii="Calibri" w:hAnsi="Calibri"/>
          <w:sz w:val="22"/>
          <w:szCs w:val="22"/>
        </w:rPr>
        <w:lastRenderedPageBreak/>
        <w:t xml:space="preserve">Education and Research following input from the Committee for Gender Balance and Diversity in Research, and is a follow-up study to the qualitative </w:t>
      </w:r>
      <w:proofErr w:type="spellStart"/>
      <w:r>
        <w:rPr>
          <w:rFonts w:ascii="Calibri" w:hAnsi="Calibri"/>
          <w:sz w:val="22"/>
          <w:szCs w:val="22"/>
        </w:rPr>
        <w:t>HiOA</w:t>
      </w:r>
      <w:proofErr w:type="spellEnd"/>
      <w:r>
        <w:rPr>
          <w:rFonts w:ascii="Calibri" w:hAnsi="Calibri"/>
          <w:sz w:val="22"/>
          <w:szCs w:val="22"/>
        </w:rPr>
        <w:t xml:space="preserve">/NIFU report </w:t>
      </w:r>
      <w:proofErr w:type="gramStart"/>
      <w:r>
        <w:rPr>
          <w:rFonts w:ascii="Calibri" w:hAnsi="Calibri"/>
          <w:i/>
          <w:sz w:val="22"/>
          <w:szCs w:val="22"/>
        </w:rPr>
        <w:t>Being</w:t>
      </w:r>
      <w:proofErr w:type="gramEnd"/>
      <w:r>
        <w:rPr>
          <w:rFonts w:ascii="Calibri" w:hAnsi="Calibri"/>
          <w:i/>
          <w:sz w:val="22"/>
          <w:szCs w:val="22"/>
        </w:rPr>
        <w:t xml:space="preserve"> a foreigner is no advantage</w:t>
      </w:r>
      <w:r>
        <w:rPr>
          <w:rFonts w:ascii="Calibri" w:hAnsi="Calibri"/>
          <w:sz w:val="22"/>
          <w:szCs w:val="22"/>
        </w:rPr>
        <w:t xml:space="preserve"> (2016).</w:t>
      </w:r>
    </w:p>
    <w:p w14:paraId="3FC9D1A4" w14:textId="77777777" w:rsidR="00DD7AAF" w:rsidRPr="002649F6" w:rsidRDefault="00DD7AAF" w:rsidP="000A69A6">
      <w:pPr>
        <w:spacing w:line="276" w:lineRule="auto"/>
        <w:rPr>
          <w:rFonts w:ascii="Calibri" w:hAnsi="Calibri"/>
          <w:sz w:val="22"/>
          <w:szCs w:val="22"/>
        </w:rPr>
      </w:pPr>
    </w:p>
    <w:p w14:paraId="0B3D065A" w14:textId="6E85EC31" w:rsidR="00761866" w:rsidRPr="002649F6" w:rsidRDefault="00DD7AAF" w:rsidP="000A69A6">
      <w:pPr>
        <w:pStyle w:val="Brdtekst1"/>
        <w:rPr>
          <w:rFonts w:cstheme="minorHAnsi"/>
          <w:color w:val="auto"/>
        </w:rPr>
      </w:pPr>
      <w:r>
        <w:rPr>
          <w:color w:val="auto"/>
        </w:rPr>
        <w:t xml:space="preserve">The statistics show that that the proportion of immigrants and descendants of immigrants in Norwegian research is 25%, while the proportion at </w:t>
      </w:r>
      <w:proofErr w:type="spellStart"/>
      <w:r>
        <w:rPr>
          <w:color w:val="auto"/>
        </w:rPr>
        <w:t>HiOA</w:t>
      </w:r>
      <w:proofErr w:type="spellEnd"/>
      <w:r>
        <w:rPr>
          <w:color w:val="auto"/>
        </w:rPr>
        <w:t xml:space="preserve"> is 13% (2014).</w:t>
      </w:r>
      <w:r w:rsidR="00092C81" w:rsidRPr="002649F6">
        <w:rPr>
          <w:rStyle w:val="Fotnotereferanse"/>
          <w:rFonts w:cstheme="minorHAnsi"/>
          <w:color w:val="auto"/>
        </w:rPr>
        <w:footnoteReference w:id="8"/>
      </w:r>
      <w:r>
        <w:rPr>
          <w:color w:val="auto"/>
        </w:rPr>
        <w:t xml:space="preserve"> On average, the universities do better than the university colleges in these statistics. Given </w:t>
      </w:r>
      <w:proofErr w:type="spellStart"/>
      <w:r>
        <w:rPr>
          <w:color w:val="auto"/>
        </w:rPr>
        <w:t>HiOA</w:t>
      </w:r>
      <w:proofErr w:type="spellEnd"/>
      <w:r>
        <w:rPr>
          <w:color w:val="auto"/>
        </w:rPr>
        <w:t xml:space="preserve">’ internationalisation strategy, its ambition to become Norway’s next university and the growing immigrant population in Oslo and </w:t>
      </w:r>
      <w:proofErr w:type="spellStart"/>
      <w:r>
        <w:rPr>
          <w:color w:val="auto"/>
        </w:rPr>
        <w:t>Akershus</w:t>
      </w:r>
      <w:proofErr w:type="spellEnd"/>
      <w:r>
        <w:rPr>
          <w:color w:val="auto"/>
        </w:rPr>
        <w:t xml:space="preserve"> counties,</w:t>
      </w:r>
      <w:r w:rsidR="00E26122" w:rsidRPr="002649F6">
        <w:rPr>
          <w:rStyle w:val="Fotnotereferanse"/>
          <w:rFonts w:cstheme="minorHAnsi"/>
          <w:color w:val="auto"/>
        </w:rPr>
        <w:footnoteReference w:id="9"/>
      </w:r>
      <w:r>
        <w:rPr>
          <w:color w:val="auto"/>
        </w:rPr>
        <w:t xml:space="preserve"> </w:t>
      </w:r>
      <w:proofErr w:type="spellStart"/>
      <w:r>
        <w:rPr>
          <w:color w:val="auto"/>
        </w:rPr>
        <w:t>HiOA</w:t>
      </w:r>
      <w:proofErr w:type="spellEnd"/>
      <w:r>
        <w:rPr>
          <w:color w:val="auto"/>
        </w:rPr>
        <w:t xml:space="preserve"> should look behind this figure to find the reasons why it is so low compared with institutions with which we should compare ourselves. Both of </w:t>
      </w:r>
      <w:proofErr w:type="spellStart"/>
      <w:r>
        <w:rPr>
          <w:color w:val="auto"/>
        </w:rPr>
        <w:t>HiOA's</w:t>
      </w:r>
      <w:proofErr w:type="spellEnd"/>
      <w:r>
        <w:rPr>
          <w:color w:val="auto"/>
        </w:rPr>
        <w:t xml:space="preserve"> research centres, SVA and SPS, have researchers that address different challenges relating to recruiting diversity to programmes of professional study: </w:t>
      </w:r>
      <w:r>
        <w:t xml:space="preserve">Which programmes have a diverse recruitment base, and which ones are ethnically homogenously Norwegian? What distinguishes </w:t>
      </w:r>
      <w:proofErr w:type="spellStart"/>
      <w:r>
        <w:t>HiOA</w:t>
      </w:r>
      <w:proofErr w:type="spellEnd"/>
      <w:r>
        <w:t xml:space="preserve"> from other educational institutions?</w:t>
      </w:r>
      <w:r w:rsidR="0076241A">
        <w:t xml:space="preserve"> </w:t>
      </w:r>
      <w:r>
        <w:t xml:space="preserve">What can we do to recruit more people from immigrant backgrounds to ‘middle-class professions’ and not ‘just’ to ‘elite professions’ (such as doctor, engineer and lawyer)? </w:t>
      </w:r>
      <w:r>
        <w:rPr>
          <w:color w:val="auto"/>
        </w:rPr>
        <w:t xml:space="preserve">Knowledge about this will enable us to implement effective measures, and it is recommended that our own expert environments be involved in exploring these issues. For </w:t>
      </w:r>
      <w:proofErr w:type="spellStart"/>
      <w:r>
        <w:rPr>
          <w:color w:val="auto"/>
        </w:rPr>
        <w:t>HiOA</w:t>
      </w:r>
      <w:proofErr w:type="spellEnd"/>
      <w:r>
        <w:rPr>
          <w:color w:val="auto"/>
        </w:rPr>
        <w:t xml:space="preserve">, it is also relevant that about four out of ten immigrants and Norwegian-born persons with immigrant parents, a total of 39.5%, live in Oslo and </w:t>
      </w:r>
      <w:proofErr w:type="spellStart"/>
      <w:r>
        <w:rPr>
          <w:color w:val="auto"/>
        </w:rPr>
        <w:t>Akershus</w:t>
      </w:r>
      <w:proofErr w:type="spellEnd"/>
      <w:r>
        <w:rPr>
          <w:color w:val="auto"/>
        </w:rPr>
        <w:t xml:space="preserve"> counties (2013). The wish to reflect this percentage is expressed in </w:t>
      </w:r>
      <w:proofErr w:type="spellStart"/>
      <w:r>
        <w:rPr>
          <w:color w:val="auto"/>
        </w:rPr>
        <w:t>HiOA’s</w:t>
      </w:r>
      <w:proofErr w:type="spellEnd"/>
      <w:r>
        <w:rPr>
          <w:color w:val="auto"/>
        </w:rPr>
        <w:t xml:space="preserve"> declaration of diversity, which is included in all job advertisements:</w:t>
      </w:r>
    </w:p>
    <w:p w14:paraId="2EE0E8BF" w14:textId="3E47A1DD" w:rsidR="00761866" w:rsidRPr="002649F6" w:rsidRDefault="00ED0444" w:rsidP="000A69A6">
      <w:pPr>
        <w:pStyle w:val="Rentekst"/>
        <w:spacing w:line="276" w:lineRule="auto"/>
        <w:rPr>
          <w:i/>
          <w:szCs w:val="22"/>
        </w:rPr>
      </w:pPr>
      <w:r>
        <w:rPr>
          <w:i/>
          <w:szCs w:val="22"/>
        </w:rPr>
        <w:t xml:space="preserve">It is important to </w:t>
      </w:r>
      <w:proofErr w:type="spellStart"/>
      <w:r>
        <w:rPr>
          <w:i/>
          <w:szCs w:val="22"/>
        </w:rPr>
        <w:t>HiOA</w:t>
      </w:r>
      <w:proofErr w:type="spellEnd"/>
      <w:r>
        <w:rPr>
          <w:i/>
          <w:szCs w:val="22"/>
        </w:rPr>
        <w:t xml:space="preserve"> to reflect the population of our region, and all qualified candidates are welcome to apply. We make active efforts to further develop as an inclusive workplace and to adapt the workplace if required.</w:t>
      </w:r>
    </w:p>
    <w:p w14:paraId="0C836FF0" w14:textId="22C3138E" w:rsidR="00351A6D" w:rsidRPr="000E1920" w:rsidRDefault="00351A6D" w:rsidP="000A69A6">
      <w:pPr>
        <w:spacing w:line="276" w:lineRule="auto"/>
        <w:rPr>
          <w:rFonts w:ascii="Calibri" w:hAnsi="Calibri"/>
        </w:rPr>
      </w:pPr>
    </w:p>
    <w:p w14:paraId="3D1FF390" w14:textId="077ED825" w:rsidR="006114CC" w:rsidRPr="006114CC" w:rsidRDefault="006114CC" w:rsidP="000A69A6">
      <w:pPr>
        <w:spacing w:line="276" w:lineRule="auto"/>
        <w:rPr>
          <w:rFonts w:ascii="Calibri" w:hAnsi="Calibri"/>
          <w:b/>
        </w:rPr>
      </w:pPr>
      <w:r>
        <w:rPr>
          <w:rFonts w:ascii="Calibri" w:hAnsi="Calibri"/>
          <w:b/>
        </w:rPr>
        <w:t>Charter and code</w:t>
      </w:r>
    </w:p>
    <w:p w14:paraId="2969F952" w14:textId="3E00BB58" w:rsidR="00351A6D" w:rsidRPr="002649F6" w:rsidRDefault="00761866" w:rsidP="000A69A6">
      <w:pPr>
        <w:spacing w:line="276" w:lineRule="auto"/>
        <w:rPr>
          <w:rFonts w:ascii="Calibri" w:hAnsi="Calibri"/>
          <w:sz w:val="22"/>
          <w:szCs w:val="22"/>
        </w:rPr>
      </w:pPr>
      <w:r>
        <w:rPr>
          <w:rFonts w:ascii="Calibri" w:hAnsi="Calibri"/>
          <w:sz w:val="22"/>
          <w:szCs w:val="22"/>
        </w:rPr>
        <w:t xml:space="preserve">International recruitment is a constantly developing focus area at </w:t>
      </w:r>
      <w:proofErr w:type="spellStart"/>
      <w:r>
        <w:rPr>
          <w:rFonts w:ascii="Calibri" w:hAnsi="Calibri"/>
          <w:sz w:val="22"/>
          <w:szCs w:val="22"/>
        </w:rPr>
        <w:t>HiOA</w:t>
      </w:r>
      <w:proofErr w:type="spellEnd"/>
      <w:r>
        <w:rPr>
          <w:rFonts w:ascii="Calibri" w:hAnsi="Calibri"/>
          <w:sz w:val="22"/>
          <w:szCs w:val="22"/>
        </w:rPr>
        <w:t xml:space="preserve">. In 2016, </w:t>
      </w:r>
      <w:proofErr w:type="spellStart"/>
      <w:r>
        <w:rPr>
          <w:rFonts w:ascii="Calibri" w:hAnsi="Calibri"/>
          <w:sz w:val="22"/>
          <w:szCs w:val="22"/>
        </w:rPr>
        <w:t>HiOA</w:t>
      </w:r>
      <w:proofErr w:type="spellEnd"/>
      <w:r>
        <w:rPr>
          <w:rFonts w:ascii="Calibri" w:hAnsi="Calibri"/>
          <w:sz w:val="22"/>
          <w:szCs w:val="22"/>
        </w:rPr>
        <w:t xml:space="preserve"> was Charter and Code certified, which means that it is one of the few Scandinavian institutions of higher education that meet the criteria for using the European Commission’s </w:t>
      </w:r>
      <w:r>
        <w:rPr>
          <w:rFonts w:ascii="Calibri" w:hAnsi="Calibri"/>
          <w:i/>
          <w:sz w:val="22"/>
          <w:szCs w:val="22"/>
        </w:rPr>
        <w:t>HR Excellence in Research</w:t>
      </w:r>
      <w:r>
        <w:rPr>
          <w:rFonts w:ascii="Calibri" w:hAnsi="Calibri"/>
          <w:sz w:val="22"/>
          <w:szCs w:val="22"/>
        </w:rPr>
        <w:t xml:space="preserve"> logo. This certification is intended to facilitate mobility to and from </w:t>
      </w:r>
      <w:proofErr w:type="spellStart"/>
      <w:r>
        <w:rPr>
          <w:rFonts w:ascii="Calibri" w:hAnsi="Calibri"/>
          <w:sz w:val="22"/>
          <w:szCs w:val="22"/>
        </w:rPr>
        <w:t>HiOA</w:t>
      </w:r>
      <w:proofErr w:type="spellEnd"/>
      <w:r>
        <w:rPr>
          <w:rFonts w:ascii="Calibri" w:hAnsi="Calibri"/>
          <w:sz w:val="22"/>
          <w:szCs w:val="22"/>
        </w:rPr>
        <w:t xml:space="preserve">. Charter and Code for Researchers is a European framework (EU) that puts work to promote gender balance and diversity on the agenda. </w:t>
      </w:r>
    </w:p>
    <w:p w14:paraId="02DF6331" w14:textId="77777777" w:rsidR="0076241A" w:rsidRDefault="00714484" w:rsidP="0076241A">
      <w:pPr>
        <w:pStyle w:val="NormalWeb"/>
        <w:spacing w:after="0" w:afterAutospacing="0" w:line="276" w:lineRule="auto"/>
        <w:rPr>
          <w:rFonts w:ascii="Calibri" w:hAnsi="Calibri"/>
          <w:b/>
          <w:color w:val="auto"/>
          <w:bdr w:val="nil"/>
        </w:rPr>
      </w:pPr>
      <w:r>
        <w:rPr>
          <w:rFonts w:ascii="Calibri" w:hAnsi="Calibri"/>
          <w:b/>
          <w:color w:val="auto"/>
          <w:bdr w:val="nil"/>
        </w:rPr>
        <w:t xml:space="preserve">Academic </w:t>
      </w:r>
      <w:proofErr w:type="spellStart"/>
      <w:r>
        <w:rPr>
          <w:rFonts w:ascii="Calibri" w:hAnsi="Calibri"/>
          <w:b/>
          <w:color w:val="auto"/>
          <w:bdr w:val="nil"/>
        </w:rPr>
        <w:t>Dugnad</w:t>
      </w:r>
      <w:proofErr w:type="spellEnd"/>
      <w:r>
        <w:rPr>
          <w:rFonts w:ascii="Calibri" w:hAnsi="Calibri"/>
          <w:b/>
          <w:color w:val="auto"/>
          <w:bdr w:val="nil"/>
        </w:rPr>
        <w:t xml:space="preserve"> for Refugees</w:t>
      </w:r>
    </w:p>
    <w:p w14:paraId="05165500" w14:textId="55412E70" w:rsidR="008938F2" w:rsidRPr="000E1920" w:rsidRDefault="00714484" w:rsidP="0076241A">
      <w:pPr>
        <w:pStyle w:val="NormalWeb"/>
        <w:spacing w:before="0" w:beforeAutospacing="0" w:line="276" w:lineRule="auto"/>
        <w:rPr>
          <w:rFonts w:ascii="Calibri" w:eastAsia="Arial Unicode MS" w:hAnsi="Calibri"/>
          <w:color w:val="auto"/>
          <w:sz w:val="24"/>
          <w:szCs w:val="24"/>
          <w:bdr w:val="nil"/>
        </w:rPr>
      </w:pPr>
      <w:r w:rsidRPr="00037FB2">
        <w:rPr>
          <w:rFonts w:ascii="Calibri" w:hAnsi="Calibri"/>
          <w:color w:val="auto"/>
          <w:sz w:val="22"/>
          <w:szCs w:val="22"/>
        </w:rPr>
        <w:t>S</w:t>
      </w:r>
      <w:r w:rsidRPr="0076241A">
        <w:rPr>
          <w:rFonts w:ascii="Calibri" w:eastAsia="Arial Unicode MS" w:hAnsi="Calibri"/>
          <w:color w:val="auto"/>
          <w:sz w:val="22"/>
          <w:szCs w:val="22"/>
          <w:bdr w:val="nil"/>
          <w:lang w:eastAsia="en-US"/>
        </w:rPr>
        <w:t>ince 2015, the international diversity work has included</w:t>
      </w:r>
      <w:r w:rsidRPr="00037FB2">
        <w:rPr>
          <w:rFonts w:ascii="Calibri" w:hAnsi="Calibri"/>
          <w:color w:val="auto"/>
          <w:sz w:val="22"/>
          <w:szCs w:val="22"/>
        </w:rPr>
        <w:t xml:space="preserve"> </w:t>
      </w:r>
      <w:proofErr w:type="spellStart"/>
      <w:r w:rsidRPr="00037FB2">
        <w:rPr>
          <w:rFonts w:ascii="Calibri" w:hAnsi="Calibri"/>
          <w:color w:val="auto"/>
          <w:sz w:val="22"/>
          <w:szCs w:val="22"/>
        </w:rPr>
        <w:t>HiOA's</w:t>
      </w:r>
      <w:proofErr w:type="spellEnd"/>
      <w:r w:rsidRPr="00037FB2">
        <w:rPr>
          <w:rFonts w:ascii="Calibri" w:hAnsi="Calibri"/>
          <w:color w:val="auto"/>
          <w:sz w:val="22"/>
          <w:szCs w:val="22"/>
        </w:rPr>
        <w:t xml:space="preserve"> involvement in the Academic </w:t>
      </w:r>
      <w:proofErr w:type="spellStart"/>
      <w:r w:rsidRPr="00037FB2">
        <w:rPr>
          <w:rFonts w:ascii="Calibri" w:hAnsi="Calibri"/>
          <w:color w:val="auto"/>
          <w:sz w:val="22"/>
          <w:szCs w:val="22"/>
        </w:rPr>
        <w:t>Dugnad</w:t>
      </w:r>
      <w:proofErr w:type="spellEnd"/>
      <w:r w:rsidRPr="00037FB2">
        <w:rPr>
          <w:rFonts w:ascii="Calibri" w:hAnsi="Calibri"/>
          <w:color w:val="auto"/>
          <w:sz w:val="22"/>
          <w:szCs w:val="22"/>
        </w:rPr>
        <w:t xml:space="preserve"> for Refugees. </w:t>
      </w:r>
      <w:r>
        <w:rPr>
          <w:rFonts w:ascii="Calibri" w:hAnsi="Calibri"/>
          <w:color w:val="auto"/>
          <w:sz w:val="22"/>
          <w:szCs w:val="22"/>
        </w:rPr>
        <w:t xml:space="preserve">Many asylum seekers and refugees who arrive in Norway have completed higher education, are researchers or were students when they were forced to leave their home country. The university and </w:t>
      </w:r>
      <w:proofErr w:type="gramStart"/>
      <w:r>
        <w:rPr>
          <w:rFonts w:ascii="Calibri" w:hAnsi="Calibri"/>
          <w:color w:val="auto"/>
          <w:sz w:val="22"/>
          <w:szCs w:val="22"/>
        </w:rPr>
        <w:t>university college</w:t>
      </w:r>
      <w:proofErr w:type="gramEnd"/>
      <w:r>
        <w:rPr>
          <w:rFonts w:ascii="Calibri" w:hAnsi="Calibri"/>
          <w:color w:val="auto"/>
          <w:sz w:val="22"/>
          <w:szCs w:val="22"/>
        </w:rPr>
        <w:t xml:space="preserve"> sector wishes to show solidarity with refugees in a difficult situation. </w:t>
      </w:r>
      <w:proofErr w:type="spellStart"/>
      <w:r>
        <w:rPr>
          <w:rFonts w:ascii="Calibri" w:hAnsi="Calibri"/>
          <w:color w:val="auto"/>
          <w:sz w:val="22"/>
          <w:szCs w:val="22"/>
        </w:rPr>
        <w:t>HiOA</w:t>
      </w:r>
      <w:proofErr w:type="spellEnd"/>
      <w:r>
        <w:rPr>
          <w:rFonts w:ascii="Calibri" w:hAnsi="Calibri"/>
          <w:color w:val="auto"/>
          <w:sz w:val="22"/>
          <w:szCs w:val="22"/>
        </w:rPr>
        <w:t xml:space="preserve"> organises various events and activities for and with refugees and asylum seekers as part of the Academic </w:t>
      </w:r>
      <w:proofErr w:type="spellStart"/>
      <w:r>
        <w:rPr>
          <w:rFonts w:ascii="Calibri" w:hAnsi="Calibri"/>
          <w:color w:val="auto"/>
          <w:sz w:val="22"/>
          <w:szCs w:val="22"/>
        </w:rPr>
        <w:t>Dugnad</w:t>
      </w:r>
      <w:proofErr w:type="spellEnd"/>
      <w:r>
        <w:rPr>
          <w:rFonts w:ascii="Calibri" w:hAnsi="Calibri"/>
          <w:color w:val="auto"/>
          <w:sz w:val="22"/>
          <w:szCs w:val="22"/>
        </w:rPr>
        <w:t xml:space="preserve"> initiative.</w:t>
      </w:r>
    </w:p>
    <w:p w14:paraId="4EDB4DD1" w14:textId="45C4404D" w:rsidR="002649F6" w:rsidRDefault="002649F6">
      <w:pPr>
        <w:rPr>
          <w:rFonts w:ascii="Calibri" w:hAnsi="Calibri" w:cstheme="minorHAnsi"/>
          <w:sz w:val="20"/>
          <w:szCs w:val="20"/>
        </w:rPr>
      </w:pPr>
      <w:r>
        <w:br w:type="page"/>
      </w:r>
    </w:p>
    <w:p w14:paraId="14E3A144" w14:textId="77777777" w:rsidR="001D6A2D" w:rsidRPr="000E1920" w:rsidRDefault="001D6A2D" w:rsidP="000A69A6">
      <w:pPr>
        <w:spacing w:line="276" w:lineRule="auto"/>
        <w:rPr>
          <w:rFonts w:ascii="Calibri" w:hAnsi="Calibri" w:cstheme="minorHAnsi"/>
          <w:sz w:val="20"/>
          <w:szCs w:val="20"/>
        </w:rPr>
      </w:pPr>
    </w:p>
    <w:p w14:paraId="4D86660A" w14:textId="3C2E92EC" w:rsidR="00DC59EA" w:rsidRPr="000E1920" w:rsidRDefault="00B253A2" w:rsidP="005A55FC">
      <w:pPr>
        <w:pStyle w:val="Overskrift2"/>
        <w:rPr>
          <w:color w:val="auto"/>
          <w:sz w:val="20"/>
          <w:szCs w:val="20"/>
        </w:rPr>
      </w:pPr>
      <w:bookmarkStart w:id="23" w:name="_Toc472263963"/>
      <w:bookmarkStart w:id="24" w:name="_Toc479234161"/>
      <w:r>
        <w:rPr>
          <w:color w:val="auto"/>
        </w:rPr>
        <w:t>2.3 Functional ability</w:t>
      </w:r>
      <w:bookmarkEnd w:id="23"/>
      <w:bookmarkEnd w:id="24"/>
    </w:p>
    <w:p w14:paraId="380565C0" w14:textId="07351708" w:rsidR="00DC59EA" w:rsidRPr="007D43F5" w:rsidRDefault="00DC59EA" w:rsidP="000A69A6">
      <w:pPr>
        <w:spacing w:line="276" w:lineRule="auto"/>
        <w:rPr>
          <w:rFonts w:ascii="Calibri" w:hAnsi="Calibri"/>
          <w:sz w:val="22"/>
          <w:szCs w:val="22"/>
        </w:rPr>
      </w:pPr>
      <w:r>
        <w:rPr>
          <w:rFonts w:ascii="Calibri" w:hAnsi="Calibri"/>
          <w:sz w:val="22"/>
          <w:szCs w:val="22"/>
        </w:rPr>
        <w:t>A functional impairment exists when a person has suffered loss of, damage to or some other form of impairment of one of the body's physical, mental or cognitive functions.</w:t>
      </w:r>
      <w:r w:rsidR="0076241A">
        <w:rPr>
          <w:rFonts w:ascii="Calibri" w:hAnsi="Calibri"/>
          <w:sz w:val="22"/>
          <w:szCs w:val="22"/>
        </w:rPr>
        <w:t xml:space="preserve"> </w:t>
      </w:r>
      <w:r>
        <w:rPr>
          <w:rFonts w:ascii="Calibri" w:hAnsi="Calibri"/>
          <w:sz w:val="22"/>
          <w:szCs w:val="22"/>
        </w:rPr>
        <w:t>This does not necessarily mean that the person's capacity for work is impaired.</w:t>
      </w:r>
      <w:r w:rsidR="0076241A">
        <w:rPr>
          <w:rFonts w:ascii="Calibri" w:hAnsi="Calibri"/>
          <w:sz w:val="22"/>
          <w:szCs w:val="22"/>
        </w:rPr>
        <w:t xml:space="preserve"> </w:t>
      </w:r>
    </w:p>
    <w:p w14:paraId="03F683A8" w14:textId="2367FFFF" w:rsidR="00FF0C7E" w:rsidRPr="000E1920" w:rsidRDefault="00FF0C7E" w:rsidP="000A69A6">
      <w:pPr>
        <w:spacing w:line="276" w:lineRule="auto"/>
        <w:rPr>
          <w:rFonts w:ascii="Calibri" w:hAnsi="Calibri"/>
        </w:rPr>
      </w:pPr>
    </w:p>
    <w:p w14:paraId="07BC6145" w14:textId="77777777" w:rsidR="006D144D" w:rsidRDefault="004A451C" w:rsidP="000A69A6">
      <w:pPr>
        <w:spacing w:line="276" w:lineRule="auto"/>
        <w:rPr>
          <w:rFonts w:ascii="Calibri" w:hAnsi="Calibri"/>
          <w:b/>
        </w:rPr>
      </w:pPr>
      <w:r>
        <w:rPr>
          <w:rFonts w:ascii="Calibri" w:hAnsi="Calibri"/>
          <w:b/>
        </w:rPr>
        <w:t>Adaptation measures</w:t>
      </w:r>
    </w:p>
    <w:p w14:paraId="43D4A7CD" w14:textId="265AE2D2" w:rsidR="00820063" w:rsidRPr="00760187" w:rsidRDefault="00FF0C7E" w:rsidP="000A69A6">
      <w:pPr>
        <w:spacing w:line="276" w:lineRule="auto"/>
        <w:rPr>
          <w:rFonts w:ascii="Calibri" w:hAnsi="Calibri"/>
          <w:b/>
        </w:rPr>
      </w:pPr>
      <w:r>
        <w:rPr>
          <w:rFonts w:ascii="Calibri" w:hAnsi="Calibri"/>
          <w:sz w:val="22"/>
          <w:szCs w:val="22"/>
        </w:rPr>
        <w:t>Adaptation measures for employees with functional impairments are often divided into the following categories:</w:t>
      </w:r>
    </w:p>
    <w:p w14:paraId="0BC976EA" w14:textId="343DC4A0" w:rsidR="00820063" w:rsidRDefault="00760187" w:rsidP="000A69A6">
      <w:pPr>
        <w:spacing w:line="276" w:lineRule="auto"/>
        <w:rPr>
          <w:rFonts w:ascii="Calibri" w:hAnsi="Calibri"/>
          <w:sz w:val="22"/>
          <w:szCs w:val="22"/>
        </w:rPr>
      </w:pPr>
      <w:r>
        <w:rPr>
          <w:rFonts w:ascii="Calibri" w:hAnsi="Calibri"/>
          <w:sz w:val="22"/>
          <w:szCs w:val="22"/>
        </w:rPr>
        <w:t>1) Physical adaptation</w:t>
      </w:r>
    </w:p>
    <w:p w14:paraId="6E56371C" w14:textId="7FC11D51" w:rsidR="00760187" w:rsidRDefault="00760187" w:rsidP="000A69A6">
      <w:pPr>
        <w:spacing w:line="276" w:lineRule="auto"/>
        <w:rPr>
          <w:rFonts w:ascii="Calibri" w:hAnsi="Calibri"/>
          <w:sz w:val="22"/>
          <w:szCs w:val="22"/>
        </w:rPr>
      </w:pPr>
      <w:r>
        <w:rPr>
          <w:rFonts w:ascii="Calibri" w:hAnsi="Calibri"/>
          <w:sz w:val="22"/>
          <w:szCs w:val="22"/>
        </w:rPr>
        <w:t>2) Organisational and working environment adaptation</w:t>
      </w:r>
    </w:p>
    <w:p w14:paraId="6C58C863" w14:textId="77777777" w:rsidR="00760187" w:rsidRDefault="00760187" w:rsidP="000A69A6">
      <w:pPr>
        <w:spacing w:line="276" w:lineRule="auto"/>
        <w:rPr>
          <w:rFonts w:ascii="Calibri" w:hAnsi="Calibri"/>
          <w:sz w:val="22"/>
          <w:szCs w:val="22"/>
        </w:rPr>
      </w:pPr>
    </w:p>
    <w:p w14:paraId="007323B7" w14:textId="4E073E77" w:rsidR="00FF0C7E" w:rsidRPr="007D43F5" w:rsidRDefault="00195D11" w:rsidP="000A69A6">
      <w:pPr>
        <w:spacing w:line="276" w:lineRule="auto"/>
        <w:rPr>
          <w:rFonts w:ascii="Calibri" w:hAnsi="Calibri"/>
          <w:sz w:val="22"/>
          <w:szCs w:val="22"/>
        </w:rPr>
      </w:pPr>
      <w:r>
        <w:rPr>
          <w:rFonts w:ascii="Calibri" w:hAnsi="Calibri"/>
          <w:sz w:val="22"/>
          <w:szCs w:val="22"/>
        </w:rPr>
        <w:t xml:space="preserve">See Appendix 2 for a complete overview of </w:t>
      </w:r>
      <w:proofErr w:type="spellStart"/>
      <w:r>
        <w:rPr>
          <w:rFonts w:ascii="Calibri" w:hAnsi="Calibri"/>
          <w:sz w:val="22"/>
          <w:szCs w:val="22"/>
        </w:rPr>
        <w:t>HiOA’s</w:t>
      </w:r>
      <w:proofErr w:type="spellEnd"/>
      <w:r>
        <w:rPr>
          <w:rFonts w:ascii="Calibri" w:hAnsi="Calibri"/>
          <w:sz w:val="22"/>
          <w:szCs w:val="22"/>
        </w:rPr>
        <w:t xml:space="preserve"> adaptation measures. Overall institutional responsibility for adaptation for employees with functional impairments lies with the university college's joint administration and with the HR, Facilities Management, ICT and Finance departments in particular. It is, however, vital that the joint administration has a close, good dialogue with the faculties and centres in order to ensure expedient agreement between status and measures.</w:t>
      </w:r>
    </w:p>
    <w:p w14:paraId="4BCDC1A6" w14:textId="568297F1" w:rsidR="00B253A2" w:rsidRPr="000E1920" w:rsidRDefault="00B253A2" w:rsidP="000A69A6">
      <w:pPr>
        <w:spacing w:line="276" w:lineRule="auto"/>
        <w:rPr>
          <w:rFonts w:ascii="Calibri" w:hAnsi="Calibri"/>
          <w:b/>
        </w:rPr>
      </w:pPr>
    </w:p>
    <w:p w14:paraId="5752C5F2" w14:textId="0837FD52" w:rsidR="00B24D9C" w:rsidRPr="000E1920" w:rsidRDefault="00B24D9C" w:rsidP="009446A0">
      <w:pPr>
        <w:spacing w:line="276" w:lineRule="auto"/>
        <w:rPr>
          <w:rFonts w:ascii="Calibri" w:hAnsi="Calibri"/>
          <w:b/>
        </w:rPr>
      </w:pPr>
      <w:r>
        <w:rPr>
          <w:rFonts w:ascii="Calibri" w:hAnsi="Calibri"/>
          <w:b/>
        </w:rPr>
        <w:t>Local IW agreement</w:t>
      </w:r>
    </w:p>
    <w:p w14:paraId="748C1E11" w14:textId="6B1A50EE" w:rsidR="00DC59EA" w:rsidRPr="007D43F5" w:rsidRDefault="00DC59EA" w:rsidP="009446A0">
      <w:pPr>
        <w:spacing w:line="276" w:lineRule="auto"/>
        <w:rPr>
          <w:rFonts w:ascii="Calibri" w:hAnsi="Calibri"/>
          <w:sz w:val="22"/>
          <w:szCs w:val="22"/>
        </w:rPr>
      </w:pPr>
      <w:r>
        <w:rPr>
          <w:rFonts w:ascii="Calibri" w:hAnsi="Calibri"/>
          <w:sz w:val="22"/>
          <w:szCs w:val="22"/>
        </w:rPr>
        <w:t>Discrimination based on functional impairment is generally due to poor adaptation or stereotypical perceptions of the practical consequences of having a functional impairment. Sixty-eight per cent of people with a functional impairment who have a university or university college education are in employment, compared to 92 per cent in the rest of the population.</w:t>
      </w:r>
      <w:r w:rsidR="00B654A9" w:rsidRPr="007D43F5">
        <w:rPr>
          <w:rStyle w:val="Fotnotereferanse"/>
          <w:rFonts w:ascii="Calibri" w:hAnsi="Calibri"/>
          <w:sz w:val="22"/>
          <w:szCs w:val="22"/>
        </w:rPr>
        <w:footnoteReference w:id="10"/>
      </w:r>
      <w:r>
        <w:rPr>
          <w:rFonts w:ascii="Calibri" w:hAnsi="Calibri"/>
          <w:sz w:val="22"/>
          <w:szCs w:val="22"/>
        </w:rPr>
        <w:t xml:space="preserve"> Addressing this difference is in line with the revised Inclusive Workplace (IW) Agreement's special focus on increasing labour market participation among people with functional impairments. </w:t>
      </w:r>
      <w:proofErr w:type="spellStart"/>
      <w:r>
        <w:rPr>
          <w:rFonts w:ascii="Calibri" w:hAnsi="Calibri"/>
          <w:sz w:val="22"/>
          <w:szCs w:val="22"/>
        </w:rPr>
        <w:t>HiOA</w:t>
      </w:r>
      <w:proofErr w:type="spellEnd"/>
      <w:r>
        <w:rPr>
          <w:rFonts w:ascii="Calibri" w:hAnsi="Calibri"/>
          <w:sz w:val="22"/>
          <w:szCs w:val="22"/>
        </w:rPr>
        <w:t xml:space="preserve"> is an IW enterprise and is committed to following up this objective. In 2016, </w:t>
      </w:r>
      <w:proofErr w:type="spellStart"/>
      <w:r>
        <w:rPr>
          <w:rFonts w:ascii="Calibri" w:hAnsi="Calibri"/>
          <w:sz w:val="22"/>
          <w:szCs w:val="22"/>
        </w:rPr>
        <w:t>HiOA</w:t>
      </w:r>
      <w:proofErr w:type="spellEnd"/>
      <w:r>
        <w:rPr>
          <w:rFonts w:ascii="Calibri" w:hAnsi="Calibri"/>
          <w:sz w:val="22"/>
          <w:szCs w:val="22"/>
        </w:rPr>
        <w:t xml:space="preserve"> drew up a local IW agreement intended to ensure that the revised IW Agreement is followed up, including its Operative goal 2: Prevent withdrawal and increase employment of people with reduced functional ability. See the local action plan in Appendix 3. </w:t>
      </w:r>
    </w:p>
    <w:p w14:paraId="58D1CE64" w14:textId="77777777" w:rsidR="009446A0" w:rsidRPr="007D43F5" w:rsidRDefault="009446A0" w:rsidP="009446A0">
      <w:pPr>
        <w:spacing w:line="276" w:lineRule="auto"/>
        <w:rPr>
          <w:rFonts w:ascii="Calibri" w:hAnsi="Calibri"/>
          <w:sz w:val="22"/>
          <w:szCs w:val="22"/>
        </w:rPr>
      </w:pPr>
    </w:p>
    <w:p w14:paraId="3E6A790C" w14:textId="30D5C54C" w:rsidR="00350374" w:rsidRPr="007D43F5" w:rsidRDefault="00DC59EA" w:rsidP="000A69A6">
      <w:pPr>
        <w:spacing w:line="276" w:lineRule="auto"/>
        <w:rPr>
          <w:rFonts w:ascii="Calibri" w:hAnsi="Calibri"/>
          <w:sz w:val="22"/>
          <w:szCs w:val="22"/>
        </w:rPr>
      </w:pPr>
      <w:r>
        <w:rPr>
          <w:rFonts w:ascii="Calibri" w:hAnsi="Calibri"/>
          <w:sz w:val="22"/>
          <w:szCs w:val="22"/>
        </w:rPr>
        <w:t xml:space="preserve">The degree of functional impairment is related to the degree of universal design and individual adaptation of the surroundings. The Anti-Discrimination and Accessibility Act defines universal design to mean designing or accommodating the main solution as regards physical conditions, including information and communication technology (ICT), so that they can be used by as many people as possible. </w:t>
      </w:r>
    </w:p>
    <w:p w14:paraId="15B29967" w14:textId="7E2E152D" w:rsidR="00707872" w:rsidRPr="000E1920" w:rsidRDefault="00707872" w:rsidP="000A69A6">
      <w:pPr>
        <w:spacing w:line="276" w:lineRule="auto"/>
        <w:rPr>
          <w:rFonts w:ascii="Calibri" w:hAnsi="Calibri"/>
          <w:b/>
          <w:sz w:val="20"/>
          <w:szCs w:val="20"/>
        </w:rPr>
      </w:pPr>
    </w:p>
    <w:p w14:paraId="48EF62FF" w14:textId="6B4544A5" w:rsidR="000E35E3" w:rsidRPr="000E1920" w:rsidRDefault="00A17C54" w:rsidP="000A69A6">
      <w:pPr>
        <w:pStyle w:val="Overskrift3"/>
        <w:spacing w:line="276" w:lineRule="auto"/>
        <w:rPr>
          <w:color w:val="auto"/>
        </w:rPr>
      </w:pPr>
      <w:bookmarkStart w:id="25" w:name="_Toc472263964"/>
      <w:bookmarkStart w:id="26" w:name="_Toc479234162"/>
      <w:r>
        <w:rPr>
          <w:color w:val="auto"/>
        </w:rPr>
        <w:t>Universal design: Physical conditions</w:t>
      </w:r>
      <w:bookmarkEnd w:id="25"/>
      <w:bookmarkEnd w:id="26"/>
    </w:p>
    <w:p w14:paraId="32093B5B" w14:textId="4BE33CCC" w:rsidR="00E97E51" w:rsidRPr="007D43F5" w:rsidRDefault="00E97E51" w:rsidP="000A69A6">
      <w:pPr>
        <w:spacing w:line="276" w:lineRule="auto"/>
        <w:rPr>
          <w:rFonts w:ascii="Calibri" w:hAnsi="Calibri"/>
          <w:sz w:val="22"/>
          <w:szCs w:val="22"/>
        </w:rPr>
      </w:pPr>
      <w:r>
        <w:rPr>
          <w:rFonts w:ascii="Calibri" w:hAnsi="Calibri"/>
          <w:sz w:val="22"/>
          <w:szCs w:val="22"/>
        </w:rPr>
        <w:t>In order to ensure that these statutory duties are followed up properly, the Department of Facilities Management earmarked funds for universal design measures for the first time in 2016 and plan to continue to do so in future budgets. Measures relating to impaired mobility, visual and hearing impairments will be given priority. In connection with new rehabilitation projects, universal design will be an integral element of the building case on a par with fire protection, indoor climate, acoustics, access control etc.</w:t>
      </w:r>
      <w:r w:rsidR="0076241A">
        <w:rPr>
          <w:rFonts w:ascii="Calibri" w:hAnsi="Calibri"/>
          <w:sz w:val="22"/>
          <w:szCs w:val="22"/>
        </w:rPr>
        <w:t xml:space="preserve"> </w:t>
      </w:r>
      <w:r>
        <w:rPr>
          <w:rFonts w:ascii="Calibri" w:hAnsi="Calibri"/>
          <w:sz w:val="22"/>
          <w:szCs w:val="22"/>
        </w:rPr>
        <w:t>As regards existing premises, measures will be implemented on a continuous basis based on needs reporting from the adaptation service or the HR departments.</w:t>
      </w:r>
      <w:r w:rsidR="00B56B42" w:rsidRPr="007D43F5">
        <w:rPr>
          <w:rStyle w:val="Fotnotereferanse"/>
          <w:rFonts w:ascii="Calibri" w:hAnsi="Calibri"/>
          <w:sz w:val="22"/>
          <w:szCs w:val="22"/>
        </w:rPr>
        <w:footnoteReference w:id="11"/>
      </w:r>
      <w:r>
        <w:rPr>
          <w:rFonts w:ascii="Calibri" w:hAnsi="Calibri"/>
          <w:sz w:val="22"/>
          <w:szCs w:val="22"/>
        </w:rPr>
        <w:t xml:space="preserve"> The Department of Facilities Management and </w:t>
      </w:r>
      <w:proofErr w:type="spellStart"/>
      <w:r>
        <w:rPr>
          <w:rFonts w:ascii="Calibri" w:hAnsi="Calibri"/>
          <w:i/>
          <w:sz w:val="22"/>
          <w:szCs w:val="22"/>
        </w:rPr>
        <w:t>Universell</w:t>
      </w:r>
      <w:proofErr w:type="spellEnd"/>
      <w:r>
        <w:rPr>
          <w:rFonts w:ascii="Calibri" w:hAnsi="Calibri"/>
          <w:sz w:val="22"/>
          <w:szCs w:val="22"/>
        </w:rPr>
        <w:t xml:space="preserve">, the national coordination body appointed by the Ministry of </w:t>
      </w:r>
      <w:r>
        <w:rPr>
          <w:rFonts w:ascii="Calibri" w:hAnsi="Calibri"/>
          <w:sz w:val="22"/>
          <w:szCs w:val="22"/>
        </w:rPr>
        <w:lastRenderedPageBreak/>
        <w:t xml:space="preserve">Education and Research, will hold a national seminar on 1 June 2017 for the network working on universal design of buildings and outdoor areas in the university and university college sector. </w:t>
      </w:r>
    </w:p>
    <w:p w14:paraId="17026E35" w14:textId="4DA1ADD2" w:rsidR="008A4B3E" w:rsidRPr="000E1920" w:rsidRDefault="008A4B3E" w:rsidP="000A69A6">
      <w:pPr>
        <w:spacing w:line="276" w:lineRule="auto"/>
        <w:rPr>
          <w:rFonts w:ascii="Calibri" w:hAnsi="Calibri"/>
        </w:rPr>
      </w:pPr>
    </w:p>
    <w:p w14:paraId="4E961F83" w14:textId="53DCF01A" w:rsidR="000E35E3" w:rsidRPr="000E1920" w:rsidRDefault="00A17C54" w:rsidP="000A69A6">
      <w:pPr>
        <w:pStyle w:val="Overskrift3"/>
        <w:spacing w:line="276" w:lineRule="auto"/>
        <w:rPr>
          <w:color w:val="auto"/>
        </w:rPr>
      </w:pPr>
      <w:bookmarkStart w:id="27" w:name="_Toc472263965"/>
      <w:bookmarkStart w:id="28" w:name="_Toc479234163"/>
      <w:r>
        <w:rPr>
          <w:color w:val="auto"/>
        </w:rPr>
        <w:t>Universal design: ICT solutions</w:t>
      </w:r>
      <w:bookmarkEnd w:id="27"/>
      <w:bookmarkEnd w:id="28"/>
    </w:p>
    <w:p w14:paraId="3D87F9E3" w14:textId="302DF30A" w:rsidR="00BF7FCC" w:rsidRPr="007D43F5" w:rsidRDefault="00B56B42" w:rsidP="000A69A6">
      <w:pPr>
        <w:pStyle w:val="Brdtekst1"/>
        <w:rPr>
          <w:color w:val="auto"/>
        </w:rPr>
      </w:pPr>
      <w:r>
        <w:rPr>
          <w:color w:val="auto"/>
        </w:rPr>
        <w:t xml:space="preserve">Developing ICT solutions, electronic documents and forms that everyone can use is important in order to ensure equal opportunities for education, work and participation in society in general. </w:t>
      </w:r>
      <w:proofErr w:type="spellStart"/>
      <w:r>
        <w:rPr>
          <w:color w:val="auto"/>
        </w:rPr>
        <w:t>HiOA’s</w:t>
      </w:r>
      <w:proofErr w:type="spellEnd"/>
      <w:r>
        <w:rPr>
          <w:color w:val="auto"/>
        </w:rPr>
        <w:t xml:space="preserve"> career and competence development academy, the </w:t>
      </w:r>
      <w:proofErr w:type="spellStart"/>
      <w:r>
        <w:rPr>
          <w:color w:val="auto"/>
        </w:rPr>
        <w:t>HiOA</w:t>
      </w:r>
      <w:proofErr w:type="spellEnd"/>
      <w:r>
        <w:rPr>
          <w:color w:val="auto"/>
        </w:rPr>
        <w:t xml:space="preserve"> Academy, therefore introduced universal ICT design training in autumn 2016. This training targets employees in both TA and TR positions.</w:t>
      </w:r>
    </w:p>
    <w:p w14:paraId="0F7160D4" w14:textId="47615E94" w:rsidR="00421026" w:rsidRPr="007D43F5" w:rsidRDefault="00BF7FCC" w:rsidP="00421026">
      <w:pPr>
        <w:pStyle w:val="Rentekst"/>
        <w:spacing w:line="276" w:lineRule="auto"/>
        <w:rPr>
          <w:szCs w:val="22"/>
        </w:rPr>
      </w:pPr>
      <w:r>
        <w:t xml:space="preserve">Universal design (statutory requirement WCAG 2.0 AA) is included in all requirements specifications for projects online. </w:t>
      </w:r>
      <w:proofErr w:type="spellStart"/>
      <w:r>
        <w:t>HiOA</w:t>
      </w:r>
      <w:proofErr w:type="spellEnd"/>
      <w:r>
        <w:t xml:space="preserve"> does not approve any solutions unless the statutory requirement for universal design is met. Universal design checks are part of all the platforms’ online operating tasks. </w:t>
      </w:r>
    </w:p>
    <w:p w14:paraId="44FE4E83" w14:textId="19E53741" w:rsidR="00421026" w:rsidRDefault="00421026" w:rsidP="00421026">
      <w:pPr>
        <w:pStyle w:val="Rentekst"/>
        <w:spacing w:line="276" w:lineRule="auto"/>
        <w:rPr>
          <w:sz w:val="24"/>
          <w:szCs w:val="24"/>
        </w:rPr>
      </w:pPr>
    </w:p>
    <w:p w14:paraId="09857F46" w14:textId="088BE311" w:rsidR="002C6AF5" w:rsidRPr="002C6AF5" w:rsidRDefault="002C6AF5" w:rsidP="00421026">
      <w:pPr>
        <w:pStyle w:val="Rentekst"/>
        <w:spacing w:line="276" w:lineRule="auto"/>
        <w:rPr>
          <w:b/>
          <w:sz w:val="24"/>
          <w:szCs w:val="24"/>
        </w:rPr>
      </w:pPr>
      <w:r>
        <w:rPr>
          <w:b/>
          <w:sz w:val="24"/>
          <w:szCs w:val="24"/>
        </w:rPr>
        <w:t>More stringent universal design regulations in the education sector</w:t>
      </w:r>
    </w:p>
    <w:p w14:paraId="2736ECB9" w14:textId="77EC6817" w:rsidR="00C51325" w:rsidRPr="007D43F5" w:rsidRDefault="00421026" w:rsidP="00421026">
      <w:pPr>
        <w:pStyle w:val="Rentekst"/>
        <w:spacing w:line="276" w:lineRule="auto"/>
        <w:rPr>
          <w:szCs w:val="22"/>
        </w:rPr>
      </w:pPr>
      <w:r>
        <w:rPr>
          <w:color w:val="000000"/>
          <w:szCs w:val="22"/>
        </w:rPr>
        <w:t>The requirements relating to universal design of ICT solutions in the training and education sector will become more stringent in future. The Government intends to amend the regulatory framework to make universal ICT design a requirement. The Government’s decision means that the existing ICT solutions in the training and education sector must comply with universal design requirements by 1 January 2021.</w:t>
      </w:r>
      <w:r>
        <w:t xml:space="preserve"> The Department of Computer Science at </w:t>
      </w:r>
      <w:proofErr w:type="spellStart"/>
      <w:r>
        <w:t>HiOA’s</w:t>
      </w:r>
      <w:proofErr w:type="spellEnd"/>
      <w:r>
        <w:t xml:space="preserve"> Faculty of Technology, Art and Design is home to Norway’s top expert community in the field of universal ICT design. This expert community can and should be a resource in the work to ensure that </w:t>
      </w:r>
      <w:proofErr w:type="spellStart"/>
      <w:r>
        <w:t>HiOA</w:t>
      </w:r>
      <w:proofErr w:type="spellEnd"/>
      <w:r>
        <w:t xml:space="preserve"> complies with the statutory requirements by 2021.</w:t>
      </w:r>
    </w:p>
    <w:p w14:paraId="5CFFCB24" w14:textId="77777777" w:rsidR="00B90325" w:rsidRDefault="00C51325">
      <w:pPr>
        <w:rPr>
          <w:rFonts w:ascii="Calibri" w:hAnsi="Calibri"/>
          <w:sz w:val="20"/>
          <w:szCs w:val="20"/>
        </w:rPr>
      </w:pPr>
      <w:r>
        <w:br w:type="page"/>
      </w:r>
    </w:p>
    <w:p w14:paraId="0E26CDDA" w14:textId="0DC7DF45" w:rsidR="00B90325" w:rsidRDefault="00B90325">
      <w:pPr>
        <w:rPr>
          <w:rFonts w:ascii="Calibri" w:hAnsi="Calibri"/>
          <w:sz w:val="20"/>
          <w:szCs w:val="20"/>
        </w:rPr>
      </w:pPr>
      <w:r>
        <w:rPr>
          <w:rFonts w:ascii="Calibri" w:eastAsia="Calibri" w:hAnsi="Calibri" w:cstheme="minorHAnsi"/>
          <w:noProof/>
          <w:sz w:val="36"/>
          <w:szCs w:val="36"/>
          <w:u w:color="000000"/>
          <w:lang w:val="nb-NO" w:eastAsia="nb-NO"/>
        </w:rPr>
        <w:lastRenderedPageBreak/>
        <w:drawing>
          <wp:anchor distT="0" distB="0" distL="114300" distR="114300" simplePos="0" relativeHeight="251670528" behindDoc="1" locked="0" layoutInCell="1" allowOverlap="1" wp14:anchorId="47CD0FDD" wp14:editId="220D2634">
            <wp:simplePos x="0" y="0"/>
            <wp:positionH relativeFrom="page">
              <wp:align>left</wp:align>
            </wp:positionH>
            <wp:positionV relativeFrom="page">
              <wp:align>top</wp:align>
            </wp:positionV>
            <wp:extent cx="7560000" cy="10695600"/>
            <wp:effectExtent l="0" t="0" r="3175"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ndlingsplan_hovedm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76761BBF" w14:textId="1349B80F" w:rsidR="00B90325" w:rsidRDefault="00B90325">
      <w:pPr>
        <w:rPr>
          <w:rFonts w:ascii="Calibri" w:hAnsi="Calibri"/>
          <w:sz w:val="20"/>
          <w:szCs w:val="20"/>
        </w:rPr>
      </w:pPr>
      <w:r>
        <w:br w:type="page"/>
      </w:r>
    </w:p>
    <w:p w14:paraId="02A0EB6A" w14:textId="29C6AA3B" w:rsidR="002C6AF5" w:rsidRDefault="00B30542" w:rsidP="007D43F5">
      <w:pPr>
        <w:pStyle w:val="Overskrift1"/>
        <w:numPr>
          <w:ilvl w:val="0"/>
          <w:numId w:val="31"/>
        </w:numPr>
      </w:pPr>
      <w:bookmarkStart w:id="29" w:name="_Toc472263966"/>
      <w:bookmarkStart w:id="30" w:name="_Toc479234164"/>
      <w:r>
        <w:lastRenderedPageBreak/>
        <w:t>Objectives and measures for the coming period (2017–2019)</w:t>
      </w:r>
      <w:bookmarkEnd w:id="29"/>
      <w:bookmarkEnd w:id="30"/>
      <w:r>
        <w:t xml:space="preserve"> </w:t>
      </w:r>
    </w:p>
    <w:p w14:paraId="457D554D" w14:textId="77777777" w:rsidR="007D43F5" w:rsidRPr="007D43F5" w:rsidRDefault="007D43F5" w:rsidP="007D43F5"/>
    <w:p w14:paraId="3DD7B511" w14:textId="00CB573D" w:rsidR="00E24D7C" w:rsidRPr="007D43F5" w:rsidRDefault="00803BB2" w:rsidP="00E24D7C">
      <w:pPr>
        <w:spacing w:line="276" w:lineRule="auto"/>
        <w:rPr>
          <w:rFonts w:ascii="Calibri" w:eastAsia="Times New Roman" w:hAnsi="Calibri" w:cstheme="majorHAnsi"/>
          <w:sz w:val="22"/>
          <w:szCs w:val="22"/>
          <w:bdr w:val="none" w:sz="0" w:space="0" w:color="auto"/>
        </w:rPr>
      </w:pPr>
      <w:r>
        <w:rPr>
          <w:rFonts w:ascii="Calibri" w:hAnsi="Calibri"/>
          <w:bCs/>
          <w:sz w:val="22"/>
          <w:szCs w:val="22"/>
        </w:rPr>
        <w:t>The proposed measures are not organised by grounds for discrimination, but divided into three activity areas. The reason for this is that diversity measures should be an integral part of the institution's structures and management rather than a discrete part, which would entail a risk of becoming a lower priority.</w:t>
      </w:r>
      <w:r w:rsidR="0076241A">
        <w:rPr>
          <w:rFonts w:ascii="Calibri" w:hAnsi="Calibri"/>
          <w:bCs/>
          <w:sz w:val="22"/>
          <w:szCs w:val="22"/>
        </w:rPr>
        <w:t xml:space="preserve"> </w:t>
      </w:r>
      <w:r>
        <w:rPr>
          <w:rFonts w:ascii="Calibri" w:hAnsi="Calibri"/>
          <w:bCs/>
          <w:sz w:val="22"/>
          <w:szCs w:val="22"/>
        </w:rPr>
        <w:t xml:space="preserve">This approach, known as the mainstreaming approach to organisational diversity work, is recommended by the Equality and Anti-discrimination Ombudsman, the body charged with supervising public bodies’ compliance with their duty to actively promote equality. </w:t>
      </w:r>
      <w:r>
        <w:rPr>
          <w:rFonts w:ascii="Calibri" w:hAnsi="Calibri"/>
          <w:bCs/>
          <w:i/>
          <w:sz w:val="22"/>
          <w:szCs w:val="22"/>
        </w:rPr>
        <w:t>Diversity mainstreaming</w:t>
      </w:r>
      <w:r>
        <w:rPr>
          <w:rFonts w:ascii="Calibri" w:hAnsi="Calibri"/>
          <w:bCs/>
          <w:sz w:val="22"/>
          <w:szCs w:val="22"/>
        </w:rPr>
        <w:t xml:space="preserve"> represents an approach whereby an organisation’s diversity efforts form an integral part of its strategy, governance, structure and management.</w:t>
      </w:r>
      <w:r w:rsidR="0076241A">
        <w:rPr>
          <w:rFonts w:ascii="Calibri" w:hAnsi="Calibri"/>
          <w:bCs/>
          <w:sz w:val="22"/>
          <w:szCs w:val="22"/>
        </w:rPr>
        <w:t xml:space="preserve"> </w:t>
      </w:r>
      <w:r>
        <w:rPr>
          <w:rFonts w:ascii="Calibri" w:hAnsi="Calibri"/>
          <w:sz w:val="22"/>
          <w:szCs w:val="22"/>
        </w:rPr>
        <w:t>However, mainstreaming is not effective without institutionalisation, concrete strategies and assignment of responsibility. This emerged in the then Equality Commission’s two reports from 2011 and 2012 (</w:t>
      </w:r>
      <w:hyperlink r:id="rId19" w:history="1">
        <w:r>
          <w:rPr>
            <w:rFonts w:ascii="Calibri" w:hAnsi="Calibri"/>
            <w:bCs/>
            <w:sz w:val="22"/>
            <w:szCs w:val="22"/>
            <w:bdr w:val="none" w:sz="0" w:space="0" w:color="auto"/>
          </w:rPr>
          <w:t>Official Norwegian Reports NOU 2012:15 – Policy for Equality</w:t>
        </w:r>
      </w:hyperlink>
      <w:r>
        <w:rPr>
          <w:rFonts w:ascii="Calibri" w:hAnsi="Calibri"/>
          <w:sz w:val="22"/>
          <w:szCs w:val="22"/>
          <w:bdr w:val="none" w:sz="0" w:space="0" w:color="auto"/>
        </w:rPr>
        <w:t>/</w:t>
      </w:r>
      <w:hyperlink r:id="rId20" w:history="1">
        <w:r>
          <w:rPr>
            <w:rFonts w:ascii="Calibri" w:hAnsi="Calibri"/>
            <w:bCs/>
            <w:sz w:val="22"/>
            <w:szCs w:val="22"/>
            <w:bdr w:val="none" w:sz="0" w:space="0" w:color="auto"/>
          </w:rPr>
          <w:t>NOU 2011:18 – Structure for Equality</w:t>
        </w:r>
      </w:hyperlink>
      <w:r>
        <w:rPr>
          <w:rFonts w:ascii="Calibri" w:hAnsi="Calibri"/>
          <w:sz w:val="22"/>
          <w:szCs w:val="22"/>
          <w:bdr w:val="none" w:sz="0" w:space="0" w:color="auto"/>
        </w:rPr>
        <w:t xml:space="preserve">). The action plan below as adopted by the Board shall therefore oblige the institution to apply a diversity policy where responsibility is not diffused, but assigned, and where concrete measures are to be implemented by a stipulated deadline. </w:t>
      </w:r>
    </w:p>
    <w:p w14:paraId="0221A4FA" w14:textId="57D023E7" w:rsidR="00FF7800" w:rsidRPr="007D43F5" w:rsidRDefault="00E24D7C" w:rsidP="00391C06">
      <w:pPr>
        <w:spacing w:before="100" w:beforeAutospacing="1" w:after="75" w:line="276" w:lineRule="auto"/>
        <w:rPr>
          <w:rFonts w:ascii="Calibri" w:eastAsia="Times New Roman" w:hAnsi="Calibri"/>
          <w:color w:val="000000"/>
          <w:sz w:val="22"/>
          <w:szCs w:val="22"/>
        </w:rPr>
      </w:pPr>
      <w:r>
        <w:rPr>
          <w:rFonts w:ascii="Calibri" w:hAnsi="Calibri"/>
          <w:color w:val="000000"/>
          <w:sz w:val="22"/>
          <w:szCs w:val="22"/>
        </w:rPr>
        <w:t xml:space="preserve">It is a challenge to formulate proposed measures that on the one hand must not be too detailed and specific and on the other hand not so general that they become difficult to operationalise and thus become less binding. The measures listed below are an attempt to balance overall guidelines against the concrete level. Some measures are more comprehensive than others, but they are not listed in order of priority, as the proposal is to adopt the action plan in its entirety. </w:t>
      </w:r>
      <w:r>
        <w:rPr>
          <w:rFonts w:ascii="Calibri" w:hAnsi="Calibri"/>
          <w:sz w:val="22"/>
          <w:szCs w:val="22"/>
        </w:rPr>
        <w:t>The measures are divided into three levels:</w:t>
      </w:r>
    </w:p>
    <w:p w14:paraId="07380BEE" w14:textId="77777777" w:rsidR="00FF7800" w:rsidRPr="007D43F5" w:rsidRDefault="00FF7800" w:rsidP="00E24D7C">
      <w:pPr>
        <w:spacing w:line="276" w:lineRule="auto"/>
        <w:rPr>
          <w:rFonts w:ascii="Calibri" w:eastAsia="Times New Roman" w:hAnsi="Calibri" w:cstheme="majorHAnsi"/>
          <w:sz w:val="22"/>
          <w:szCs w:val="22"/>
          <w:bdr w:val="none" w:sz="0" w:space="0" w:color="auto"/>
          <w:lang w:eastAsia="nb-NO"/>
        </w:rPr>
      </w:pPr>
    </w:p>
    <w:p w14:paraId="3E1DDF09" w14:textId="0A65C2C7" w:rsidR="000042AA" w:rsidRPr="007D43F5" w:rsidRDefault="000042AA" w:rsidP="00E24D7C">
      <w:pPr>
        <w:pStyle w:val="Listeavsnitt"/>
        <w:numPr>
          <w:ilvl w:val="0"/>
          <w:numId w:val="39"/>
        </w:numPr>
        <w:rPr>
          <w:rFonts w:ascii="Calibri" w:eastAsia="Times New Roman" w:hAnsi="Calibri" w:cs="Times New Roman"/>
        </w:rPr>
      </w:pPr>
      <w:r>
        <w:rPr>
          <w:rFonts w:ascii="Calibri" w:hAnsi="Calibri"/>
        </w:rPr>
        <w:t>Institution level – organisation and management</w:t>
      </w:r>
    </w:p>
    <w:p w14:paraId="37A367BE" w14:textId="717EE529" w:rsidR="000042AA" w:rsidRPr="007D43F5" w:rsidRDefault="000042AA" w:rsidP="0055593B">
      <w:pPr>
        <w:pStyle w:val="Listeavsnitt"/>
        <w:spacing w:before="100" w:beforeAutospacing="1" w:after="75"/>
        <w:rPr>
          <w:rFonts w:ascii="Calibri" w:hAnsi="Calibri" w:cstheme="minorHAnsi"/>
          <w:i/>
        </w:rPr>
      </w:pPr>
      <w:r>
        <w:rPr>
          <w:rFonts w:ascii="Calibri" w:hAnsi="Calibri"/>
          <w:i/>
        </w:rPr>
        <w:t xml:space="preserve">Main goal: </w:t>
      </w:r>
      <w:proofErr w:type="spellStart"/>
      <w:r>
        <w:rPr>
          <w:rFonts w:ascii="Calibri" w:hAnsi="Calibri"/>
          <w:i/>
        </w:rPr>
        <w:t>HiOA’s</w:t>
      </w:r>
      <w:proofErr w:type="spellEnd"/>
      <w:r>
        <w:rPr>
          <w:rFonts w:ascii="Calibri" w:hAnsi="Calibri"/>
          <w:i/>
        </w:rPr>
        <w:t xml:space="preserve"> core value diversity shall be an integral part of the institution's culture, structure and management.</w:t>
      </w:r>
    </w:p>
    <w:p w14:paraId="0BA17A08" w14:textId="77777777" w:rsidR="000042AA" w:rsidRPr="007D43F5" w:rsidRDefault="000042AA" w:rsidP="00E24D7C">
      <w:pPr>
        <w:pStyle w:val="Listeavsnitt"/>
        <w:spacing w:before="100" w:beforeAutospacing="1" w:after="75"/>
        <w:rPr>
          <w:rFonts w:ascii="Calibri" w:eastAsia="Times New Roman" w:hAnsi="Calibri" w:cs="Times New Roman"/>
          <w:lang w:eastAsia="nb-NO"/>
        </w:rPr>
      </w:pPr>
    </w:p>
    <w:p w14:paraId="6C9E4C70" w14:textId="4733B613" w:rsidR="00982F4B" w:rsidRPr="007D43F5" w:rsidRDefault="000042AA" w:rsidP="00E24D7C">
      <w:pPr>
        <w:pStyle w:val="Listeavsnitt"/>
        <w:numPr>
          <w:ilvl w:val="0"/>
          <w:numId w:val="39"/>
        </w:numPr>
        <w:spacing w:before="100" w:beforeAutospacing="1" w:after="75"/>
        <w:rPr>
          <w:rFonts w:ascii="Calibri" w:eastAsia="Times New Roman" w:hAnsi="Calibri" w:cs="Times New Roman"/>
        </w:rPr>
      </w:pPr>
      <w:r>
        <w:rPr>
          <w:rFonts w:ascii="Calibri" w:hAnsi="Calibri"/>
        </w:rPr>
        <w:t>Faculty and centre level – research and education</w:t>
      </w:r>
    </w:p>
    <w:p w14:paraId="6642FC43" w14:textId="2860572C" w:rsidR="003F5EC6" w:rsidRPr="007D43F5" w:rsidRDefault="003F5EC6" w:rsidP="00E24D7C">
      <w:pPr>
        <w:pStyle w:val="Listeavsnitt"/>
        <w:spacing w:before="100" w:beforeAutospacing="1" w:after="75"/>
        <w:rPr>
          <w:rFonts w:ascii="Calibri" w:hAnsi="Calibri" w:cstheme="minorHAnsi"/>
          <w:i/>
        </w:rPr>
      </w:pPr>
      <w:r>
        <w:rPr>
          <w:rFonts w:ascii="Calibri" w:hAnsi="Calibri"/>
          <w:i/>
        </w:rPr>
        <w:t>Main goal: The faculties shall apply an effective local diversity policy, and relevant diversity perspectives shall be integrated into research and development.</w:t>
      </w:r>
    </w:p>
    <w:p w14:paraId="12FD08DB" w14:textId="77777777" w:rsidR="00C33B2F" w:rsidRPr="007D43F5" w:rsidRDefault="00C33B2F" w:rsidP="00E24D7C">
      <w:pPr>
        <w:pStyle w:val="Listeavsnitt"/>
        <w:spacing w:before="100" w:beforeAutospacing="1" w:after="75"/>
        <w:rPr>
          <w:rFonts w:ascii="Calibri" w:eastAsia="Times New Roman" w:hAnsi="Calibri" w:cs="Times New Roman"/>
          <w:lang w:eastAsia="nb-NO"/>
        </w:rPr>
      </w:pPr>
    </w:p>
    <w:p w14:paraId="5FDF750A" w14:textId="7271CC5B" w:rsidR="000042AA" w:rsidRPr="007D43F5" w:rsidRDefault="000042AA" w:rsidP="00E24D7C">
      <w:pPr>
        <w:pStyle w:val="Listeavsnitt"/>
        <w:numPr>
          <w:ilvl w:val="0"/>
          <w:numId w:val="39"/>
        </w:numPr>
        <w:spacing w:before="100" w:beforeAutospacing="1" w:after="75"/>
        <w:rPr>
          <w:rFonts w:ascii="Calibri" w:eastAsia="Times New Roman" w:hAnsi="Calibri" w:cs="Times New Roman"/>
          <w:color w:val="000000"/>
        </w:rPr>
      </w:pPr>
      <w:r>
        <w:rPr>
          <w:rFonts w:ascii="Calibri" w:hAnsi="Calibri"/>
        </w:rPr>
        <w:t>Recruitment and development</w:t>
      </w:r>
    </w:p>
    <w:p w14:paraId="12B9BC31" w14:textId="48AED6C1" w:rsidR="00C33B2F" w:rsidRPr="007D43F5" w:rsidRDefault="00C33B2F" w:rsidP="00E24D7C">
      <w:pPr>
        <w:pStyle w:val="Listeavsnitt"/>
        <w:spacing w:before="100" w:beforeAutospacing="1" w:after="75"/>
        <w:rPr>
          <w:rFonts w:ascii="Calibri" w:eastAsia="Times New Roman" w:hAnsi="Calibri" w:cs="Times New Roman"/>
          <w:i/>
        </w:rPr>
      </w:pPr>
      <w:r>
        <w:rPr>
          <w:rFonts w:ascii="Calibri" w:hAnsi="Calibri"/>
          <w:i/>
        </w:rPr>
        <w:t xml:space="preserve">Main goal: </w:t>
      </w:r>
      <w:proofErr w:type="spellStart"/>
      <w:r>
        <w:rPr>
          <w:rFonts w:ascii="Calibri" w:hAnsi="Calibri"/>
          <w:i/>
        </w:rPr>
        <w:t>HiOA’s</w:t>
      </w:r>
      <w:proofErr w:type="spellEnd"/>
      <w:r>
        <w:rPr>
          <w:rFonts w:ascii="Calibri" w:hAnsi="Calibri"/>
          <w:i/>
        </w:rPr>
        <w:t xml:space="preserve"> recruitment and career development processes shall be characterised by equal opportunities. Career and competence development measures shall contribute to raising the organisation's diversity competence.</w:t>
      </w:r>
    </w:p>
    <w:p w14:paraId="0B5ABDB8" w14:textId="3D37685C" w:rsidR="00C1046B" w:rsidRPr="000E1920" w:rsidRDefault="00C1046B" w:rsidP="00E24D7C">
      <w:pPr>
        <w:spacing w:line="276" w:lineRule="auto"/>
        <w:rPr>
          <w:rFonts w:ascii="Calibri" w:eastAsia="Times New Roman" w:hAnsi="Calibri"/>
          <w:color w:val="000000"/>
        </w:rPr>
      </w:pPr>
      <w:r>
        <w:br w:type="page"/>
      </w:r>
    </w:p>
    <w:p w14:paraId="11AB5C81" w14:textId="77777777" w:rsidR="000042AA" w:rsidRPr="000E1920" w:rsidRDefault="000042AA" w:rsidP="000042AA">
      <w:pPr>
        <w:spacing w:before="100" w:beforeAutospacing="1" w:after="75"/>
        <w:rPr>
          <w:rFonts w:ascii="Calibri" w:eastAsia="Times New Roman" w:hAnsi="Calibri"/>
          <w:color w:val="000000"/>
          <w:lang w:eastAsia="nb-NO"/>
        </w:rPr>
      </w:pPr>
    </w:p>
    <w:tbl>
      <w:tblPr>
        <w:tblW w:w="9328" w:type="dxa"/>
        <w:tblInd w:w="108" w:type="dxa"/>
        <w:tblBorders>
          <w:top w:val="single" w:sz="8" w:space="0" w:color="FFFFFF"/>
          <w:left w:val="single" w:sz="8" w:space="0" w:color="FFFFFF"/>
          <w:bottom w:val="single" w:sz="8" w:space="0" w:color="FFFFFF"/>
          <w:right w:val="single" w:sz="8" w:space="0" w:color="FFFFFF"/>
          <w:insideH w:val="single" w:sz="2" w:space="0" w:color="FFFFFF"/>
          <w:insideV w:val="single" w:sz="2" w:space="0" w:color="FFFFFF"/>
        </w:tblBorders>
        <w:shd w:val="clear" w:color="auto" w:fill="4F81BD"/>
        <w:tblLayout w:type="fixed"/>
        <w:tblLook w:val="04A0" w:firstRow="1" w:lastRow="0" w:firstColumn="1" w:lastColumn="0" w:noHBand="0" w:noVBand="1"/>
      </w:tblPr>
      <w:tblGrid>
        <w:gridCol w:w="3150"/>
        <w:gridCol w:w="2409"/>
        <w:gridCol w:w="2410"/>
        <w:gridCol w:w="1359"/>
      </w:tblGrid>
      <w:tr w:rsidR="00BD225E" w:rsidRPr="000E1920" w14:paraId="620F7CF5" w14:textId="77777777" w:rsidTr="003D277C">
        <w:trPr>
          <w:trHeight w:val="453"/>
          <w:tblHeader/>
        </w:trPr>
        <w:tc>
          <w:tcPr>
            <w:tcW w:w="9328" w:type="dxa"/>
            <w:gridSpan w:val="4"/>
            <w:tcBorders>
              <w:top w:val="single" w:sz="2" w:space="0" w:color="FFFFFF"/>
              <w:left w:val="single" w:sz="2" w:space="0" w:color="FFFFFF"/>
              <w:bottom w:val="single" w:sz="24" w:space="0" w:color="FFFFFF"/>
              <w:right w:val="single" w:sz="2" w:space="0" w:color="FFFFFF"/>
            </w:tcBorders>
            <w:shd w:val="clear" w:color="auto" w:fill="4F81BD"/>
            <w:tcMar>
              <w:top w:w="0" w:type="dxa"/>
              <w:left w:w="0" w:type="dxa"/>
              <w:bottom w:w="0" w:type="dxa"/>
              <w:right w:w="0" w:type="dxa"/>
            </w:tcMar>
          </w:tcPr>
          <w:p w14:paraId="7FC27A37" w14:textId="061C862F" w:rsidR="0019473E" w:rsidRPr="007F2B5D" w:rsidRDefault="0019473E" w:rsidP="007F2B5D">
            <w:pPr>
              <w:pStyle w:val="Listeavsnitt"/>
              <w:numPr>
                <w:ilvl w:val="0"/>
                <w:numId w:val="29"/>
              </w:numPr>
              <w:jc w:val="center"/>
              <w:rPr>
                <w:rFonts w:ascii="Calibri" w:hAnsi="Calibri" w:cstheme="minorHAnsi"/>
                <w:sz w:val="24"/>
                <w:szCs w:val="24"/>
              </w:rPr>
            </w:pPr>
            <w:r>
              <w:rPr>
                <w:rFonts w:ascii="Calibri" w:hAnsi="Calibri"/>
                <w:sz w:val="24"/>
                <w:szCs w:val="24"/>
              </w:rPr>
              <w:t>Institution level – organisation and management</w:t>
            </w:r>
          </w:p>
          <w:p w14:paraId="16F57829" w14:textId="1A4D6078" w:rsidR="00BD225E" w:rsidRPr="000E1920" w:rsidRDefault="00BD225E" w:rsidP="007F2B5D">
            <w:pPr>
              <w:jc w:val="center"/>
              <w:rPr>
                <w:rFonts w:ascii="Calibri" w:hAnsi="Calibri" w:cstheme="minorHAnsi"/>
                <w:sz w:val="28"/>
                <w:szCs w:val="28"/>
              </w:rPr>
            </w:pPr>
            <w:r>
              <w:rPr>
                <w:rFonts w:ascii="Calibri" w:hAnsi="Calibri"/>
                <w:color w:val="FFFFFF" w:themeColor="background1"/>
              </w:rPr>
              <w:t xml:space="preserve">Main goal: </w:t>
            </w:r>
            <w:proofErr w:type="spellStart"/>
            <w:r>
              <w:rPr>
                <w:rFonts w:ascii="Calibri" w:hAnsi="Calibri"/>
                <w:color w:val="FFFFFF" w:themeColor="background1"/>
              </w:rPr>
              <w:t>HiOA’s</w:t>
            </w:r>
            <w:proofErr w:type="spellEnd"/>
            <w:r>
              <w:rPr>
                <w:rFonts w:ascii="Calibri" w:hAnsi="Calibri"/>
                <w:color w:val="FFFFFF" w:themeColor="background1"/>
              </w:rPr>
              <w:t xml:space="preserve"> core value diversity shall be an integral part of the institution's culture, structure and management.</w:t>
            </w:r>
          </w:p>
        </w:tc>
      </w:tr>
      <w:tr w:rsidR="00EA2493" w:rsidRPr="000E1920" w14:paraId="7EDAA93B" w14:textId="77777777" w:rsidTr="002B179D">
        <w:trPr>
          <w:trHeight w:val="453"/>
          <w:tblHeader/>
        </w:trPr>
        <w:tc>
          <w:tcPr>
            <w:tcW w:w="3150" w:type="dxa"/>
            <w:tcBorders>
              <w:top w:val="single" w:sz="2" w:space="0" w:color="FFFFFF"/>
              <w:left w:val="single" w:sz="2" w:space="0" w:color="FFFFFF"/>
              <w:bottom w:val="single" w:sz="24" w:space="0" w:color="FFFFFF"/>
              <w:right w:val="single" w:sz="8" w:space="0" w:color="FFFFFF"/>
            </w:tcBorders>
            <w:shd w:val="clear" w:color="auto" w:fill="4F81BD"/>
            <w:tcMar>
              <w:top w:w="0" w:type="dxa"/>
              <w:left w:w="0" w:type="dxa"/>
              <w:bottom w:w="0" w:type="dxa"/>
              <w:right w:w="0" w:type="dxa"/>
            </w:tcMar>
          </w:tcPr>
          <w:p w14:paraId="0739A876" w14:textId="77777777" w:rsidR="00A32BF4" w:rsidRPr="009A5CD4" w:rsidRDefault="00154836" w:rsidP="000A69A6">
            <w:pPr>
              <w:spacing w:line="276" w:lineRule="auto"/>
              <w:rPr>
                <w:rFonts w:ascii="Calibri" w:hAnsi="Calibri" w:cstheme="minorHAnsi"/>
                <w:sz w:val="22"/>
                <w:szCs w:val="22"/>
              </w:rPr>
            </w:pPr>
            <w:r>
              <w:rPr>
                <w:rFonts w:ascii="Calibri" w:hAnsi="Calibri"/>
                <w:sz w:val="22"/>
                <w:szCs w:val="22"/>
              </w:rPr>
              <w:t>Goals</w:t>
            </w:r>
          </w:p>
        </w:tc>
        <w:tc>
          <w:tcPr>
            <w:tcW w:w="2409" w:type="dxa"/>
            <w:tcBorders>
              <w:top w:val="single" w:sz="2"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tcPr>
          <w:p w14:paraId="4A006818" w14:textId="77777777" w:rsidR="00A32BF4" w:rsidRPr="009A5CD4" w:rsidRDefault="00154836" w:rsidP="000A69A6">
            <w:pPr>
              <w:spacing w:line="276" w:lineRule="auto"/>
              <w:rPr>
                <w:rFonts w:ascii="Calibri" w:hAnsi="Calibri" w:cstheme="minorHAnsi"/>
                <w:sz w:val="22"/>
                <w:szCs w:val="22"/>
              </w:rPr>
            </w:pPr>
            <w:r>
              <w:rPr>
                <w:rFonts w:ascii="Calibri" w:hAnsi="Calibri"/>
                <w:sz w:val="22"/>
                <w:szCs w:val="22"/>
              </w:rPr>
              <w:t>Measures</w:t>
            </w:r>
          </w:p>
        </w:tc>
        <w:tc>
          <w:tcPr>
            <w:tcW w:w="2410" w:type="dxa"/>
            <w:tcBorders>
              <w:top w:val="single" w:sz="2"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tcPr>
          <w:p w14:paraId="0CA64786" w14:textId="77777777" w:rsidR="00A32BF4" w:rsidRPr="009A5CD4" w:rsidRDefault="00B30542" w:rsidP="000A69A6">
            <w:pPr>
              <w:spacing w:line="276" w:lineRule="auto"/>
              <w:rPr>
                <w:rFonts w:ascii="Calibri" w:hAnsi="Calibri" w:cstheme="minorHAnsi"/>
                <w:sz w:val="22"/>
                <w:szCs w:val="22"/>
              </w:rPr>
            </w:pPr>
            <w:r>
              <w:rPr>
                <w:rFonts w:ascii="Calibri" w:hAnsi="Calibri"/>
                <w:sz w:val="22"/>
                <w:szCs w:val="22"/>
              </w:rPr>
              <w:t>Responsibility</w:t>
            </w:r>
          </w:p>
        </w:tc>
        <w:tc>
          <w:tcPr>
            <w:tcW w:w="1359" w:type="dxa"/>
            <w:tcBorders>
              <w:top w:val="single" w:sz="2" w:space="0" w:color="FFFFFF"/>
              <w:left w:val="single" w:sz="8" w:space="0" w:color="FFFFFF"/>
              <w:bottom w:val="single" w:sz="24" w:space="0" w:color="FFFFFF"/>
              <w:right w:val="single" w:sz="2" w:space="0" w:color="FFFFFF"/>
            </w:tcBorders>
            <w:shd w:val="clear" w:color="auto" w:fill="4F81BD"/>
            <w:tcMar>
              <w:top w:w="0" w:type="dxa"/>
              <w:left w:w="0" w:type="dxa"/>
              <w:bottom w:w="0" w:type="dxa"/>
              <w:right w:w="0" w:type="dxa"/>
            </w:tcMar>
          </w:tcPr>
          <w:p w14:paraId="62129B3F" w14:textId="77777777" w:rsidR="00A32BF4" w:rsidRPr="009A5CD4" w:rsidRDefault="00B30542" w:rsidP="000A69A6">
            <w:pPr>
              <w:spacing w:line="276" w:lineRule="auto"/>
              <w:rPr>
                <w:rFonts w:ascii="Calibri" w:hAnsi="Calibri" w:cstheme="minorHAnsi"/>
                <w:sz w:val="22"/>
                <w:szCs w:val="22"/>
              </w:rPr>
            </w:pPr>
            <w:r>
              <w:rPr>
                <w:rFonts w:ascii="Calibri" w:hAnsi="Calibri"/>
                <w:sz w:val="22"/>
                <w:szCs w:val="22"/>
              </w:rPr>
              <w:t>Deadline</w:t>
            </w:r>
          </w:p>
        </w:tc>
      </w:tr>
      <w:tr w:rsidR="00EA2493" w:rsidRPr="00132473" w14:paraId="1B09480A" w14:textId="77777777" w:rsidTr="002B179D">
        <w:tblPrEx>
          <w:shd w:val="clear" w:color="auto" w:fill="CED7E7"/>
        </w:tblPrEx>
        <w:trPr>
          <w:trHeight w:val="880"/>
        </w:trPr>
        <w:tc>
          <w:tcPr>
            <w:tcW w:w="3150" w:type="dxa"/>
            <w:tcBorders>
              <w:top w:val="single" w:sz="24" w:space="0" w:color="FFFFFF"/>
              <w:left w:val="single" w:sz="2"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259B4B79" w14:textId="61DC5879" w:rsidR="00A32BF4" w:rsidRPr="00132473" w:rsidRDefault="0055593B" w:rsidP="0024269B">
            <w:pPr>
              <w:pStyle w:val="Listeavsnitt"/>
              <w:numPr>
                <w:ilvl w:val="0"/>
                <w:numId w:val="42"/>
              </w:numPr>
              <w:rPr>
                <w:rFonts w:ascii="Calibri" w:hAnsi="Calibri" w:cstheme="minorHAnsi"/>
                <w:sz w:val="20"/>
                <w:szCs w:val="20"/>
              </w:rPr>
            </w:pPr>
            <w:proofErr w:type="spellStart"/>
            <w:r>
              <w:rPr>
                <w:rFonts w:ascii="Calibri" w:hAnsi="Calibri"/>
                <w:sz w:val="20"/>
                <w:szCs w:val="20"/>
              </w:rPr>
              <w:t>HiOA's</w:t>
            </w:r>
            <w:proofErr w:type="spellEnd"/>
            <w:r>
              <w:rPr>
                <w:rFonts w:ascii="Calibri" w:hAnsi="Calibri"/>
                <w:sz w:val="20"/>
                <w:szCs w:val="20"/>
              </w:rPr>
              <w:t xml:space="preserve"> core value diversity shall be an integral part of Strategy 2024 in order to ensure continued strategic support for diversity efforts</w:t>
            </w:r>
          </w:p>
        </w:tc>
        <w:tc>
          <w:tcPr>
            <w:tcW w:w="2409"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51AB315B" w14:textId="04F89653" w:rsidR="00A32BF4" w:rsidRPr="00132473" w:rsidRDefault="00C97489" w:rsidP="000A69A6">
            <w:pPr>
              <w:spacing w:line="276" w:lineRule="auto"/>
              <w:rPr>
                <w:rFonts w:ascii="Calibri" w:hAnsi="Calibri" w:cstheme="minorHAnsi"/>
                <w:sz w:val="20"/>
                <w:szCs w:val="20"/>
              </w:rPr>
            </w:pPr>
            <w:r>
              <w:rPr>
                <w:rFonts w:ascii="Calibri" w:hAnsi="Calibri"/>
                <w:sz w:val="20"/>
                <w:szCs w:val="20"/>
              </w:rPr>
              <w:t>HR director/diversity officer/the diversity committee will contribute to the strategy development process</w:t>
            </w:r>
          </w:p>
        </w:tc>
        <w:tc>
          <w:tcPr>
            <w:tcW w:w="2410" w:type="dxa"/>
            <w:tcBorders>
              <w:top w:val="single" w:sz="24" w:space="0" w:color="FFFFFF"/>
              <w:left w:val="single" w:sz="8"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2F914614" w14:textId="77777777" w:rsidR="00A32BF4" w:rsidRPr="00132473" w:rsidRDefault="00B30542" w:rsidP="000A69A6">
            <w:pPr>
              <w:spacing w:line="276" w:lineRule="auto"/>
              <w:rPr>
                <w:rFonts w:ascii="Calibri" w:hAnsi="Calibri" w:cstheme="minorHAnsi"/>
                <w:sz w:val="20"/>
                <w:szCs w:val="20"/>
              </w:rPr>
            </w:pPr>
            <w:r>
              <w:rPr>
                <w:rFonts w:ascii="Calibri" w:hAnsi="Calibri"/>
                <w:sz w:val="20"/>
                <w:szCs w:val="20"/>
              </w:rPr>
              <w:t>Director of the Department of Organisation and Corporate Governance (ORV)</w:t>
            </w:r>
          </w:p>
        </w:tc>
        <w:tc>
          <w:tcPr>
            <w:tcW w:w="1359" w:type="dxa"/>
            <w:tcBorders>
              <w:top w:val="single" w:sz="24" w:space="0" w:color="FFFFFF"/>
              <w:left w:val="single" w:sz="8" w:space="0" w:color="FFFFFF"/>
              <w:bottom w:val="single" w:sz="8" w:space="0" w:color="FFFFFF"/>
              <w:right w:val="single" w:sz="2" w:space="0" w:color="FFFFFF"/>
            </w:tcBorders>
            <w:shd w:val="clear" w:color="auto" w:fill="B8CCE4" w:themeFill="accent1" w:themeFillTint="66"/>
            <w:tcMar>
              <w:top w:w="0" w:type="dxa"/>
              <w:left w:w="0" w:type="dxa"/>
              <w:bottom w:w="0" w:type="dxa"/>
              <w:right w:w="0" w:type="dxa"/>
            </w:tcMar>
          </w:tcPr>
          <w:p w14:paraId="733A34D2" w14:textId="69315A85" w:rsidR="00A32BF4" w:rsidRPr="00132473" w:rsidRDefault="00B30542" w:rsidP="000A69A6">
            <w:pPr>
              <w:spacing w:line="276" w:lineRule="auto"/>
              <w:rPr>
                <w:rFonts w:ascii="Calibri" w:hAnsi="Calibri" w:cstheme="minorHAnsi"/>
                <w:sz w:val="20"/>
                <w:szCs w:val="20"/>
              </w:rPr>
            </w:pPr>
            <w:r>
              <w:rPr>
                <w:rFonts w:ascii="Calibri" w:hAnsi="Calibri"/>
                <w:sz w:val="20"/>
                <w:szCs w:val="20"/>
              </w:rPr>
              <w:t>Spring 2017</w:t>
            </w:r>
          </w:p>
        </w:tc>
      </w:tr>
      <w:tr w:rsidR="00EA2493" w:rsidRPr="00132473" w14:paraId="78CB72EE" w14:textId="77777777" w:rsidTr="002B179D">
        <w:tblPrEx>
          <w:shd w:val="clear" w:color="auto" w:fill="CED7E7"/>
        </w:tblPrEx>
        <w:trPr>
          <w:trHeight w:val="1140"/>
        </w:trPr>
        <w:tc>
          <w:tcPr>
            <w:tcW w:w="3150" w:type="dxa"/>
            <w:tcBorders>
              <w:top w:val="single" w:sz="8" w:space="0" w:color="FFFFFF"/>
              <w:left w:val="single" w:sz="2" w:space="0" w:color="FFFFFF"/>
              <w:bottom w:val="single" w:sz="8" w:space="0" w:color="FFFFFF"/>
              <w:right w:val="single" w:sz="8" w:space="0" w:color="FFFFFF"/>
            </w:tcBorders>
            <w:shd w:val="clear" w:color="auto" w:fill="E8ECF3"/>
            <w:tcMar>
              <w:top w:w="0" w:type="dxa"/>
              <w:left w:w="0" w:type="dxa"/>
              <w:bottom w:w="0" w:type="dxa"/>
              <w:right w:w="0" w:type="dxa"/>
            </w:tcMar>
          </w:tcPr>
          <w:p w14:paraId="4E1D62E7" w14:textId="5D83EAB0" w:rsidR="0065641B" w:rsidRPr="00132473" w:rsidRDefault="003C2F26" w:rsidP="001A6C59">
            <w:pPr>
              <w:pStyle w:val="Listeavsnitt"/>
              <w:numPr>
                <w:ilvl w:val="0"/>
                <w:numId w:val="42"/>
              </w:numPr>
              <w:rPr>
                <w:rFonts w:ascii="Calibri" w:hAnsi="Calibri" w:cstheme="minorHAnsi"/>
                <w:sz w:val="20"/>
                <w:szCs w:val="20"/>
              </w:rPr>
            </w:pPr>
            <w:r>
              <w:rPr>
                <w:rFonts w:ascii="Calibri" w:hAnsi="Calibri"/>
                <w:sz w:val="20"/>
                <w:szCs w:val="20"/>
              </w:rPr>
              <w:t>Diversity work shall be established as a fixed item on the HR budget to ensure that the results of different diversity projects can be monitored and measured</w:t>
            </w:r>
          </w:p>
        </w:tc>
        <w:tc>
          <w:tcPr>
            <w:tcW w:w="2409"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14:paraId="58680565" w14:textId="7FDBF6D6" w:rsidR="00A32BF4" w:rsidRPr="00132473" w:rsidRDefault="00927211" w:rsidP="000A69A6">
            <w:pPr>
              <w:spacing w:line="276" w:lineRule="auto"/>
              <w:rPr>
                <w:rFonts w:ascii="Calibri" w:hAnsi="Calibri" w:cstheme="minorHAnsi"/>
                <w:sz w:val="20"/>
                <w:szCs w:val="20"/>
              </w:rPr>
            </w:pPr>
            <w:r>
              <w:rPr>
                <w:rFonts w:ascii="Calibri" w:hAnsi="Calibri"/>
                <w:sz w:val="20"/>
                <w:szCs w:val="20"/>
              </w:rPr>
              <w:t>Diversity activities shall be included as a fixed checkpoint in the (annual) HR budget process and in long-term planning</w:t>
            </w:r>
          </w:p>
        </w:tc>
        <w:tc>
          <w:tcPr>
            <w:tcW w:w="2410"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14:paraId="29A3C67D" w14:textId="26933A62" w:rsidR="00A32BF4" w:rsidRPr="00132473" w:rsidRDefault="001A6C59" w:rsidP="000A69A6">
            <w:pPr>
              <w:spacing w:line="276" w:lineRule="auto"/>
              <w:rPr>
                <w:rFonts w:ascii="Calibri" w:hAnsi="Calibri" w:cstheme="minorHAnsi"/>
                <w:sz w:val="20"/>
                <w:szCs w:val="20"/>
              </w:rPr>
            </w:pPr>
            <w:r>
              <w:rPr>
                <w:rFonts w:ascii="Calibri" w:hAnsi="Calibri"/>
                <w:sz w:val="20"/>
                <w:szCs w:val="20"/>
              </w:rPr>
              <w:t>HR Director</w:t>
            </w:r>
          </w:p>
        </w:tc>
        <w:tc>
          <w:tcPr>
            <w:tcW w:w="1359" w:type="dxa"/>
            <w:tcBorders>
              <w:top w:val="single" w:sz="8" w:space="0" w:color="FFFFFF"/>
              <w:left w:val="single" w:sz="8" w:space="0" w:color="FFFFFF"/>
              <w:bottom w:val="single" w:sz="8" w:space="0" w:color="FFFFFF"/>
              <w:right w:val="single" w:sz="2" w:space="0" w:color="FFFFFF"/>
            </w:tcBorders>
            <w:shd w:val="clear" w:color="auto" w:fill="E8ECF3"/>
            <w:tcMar>
              <w:top w:w="0" w:type="dxa"/>
              <w:left w:w="0" w:type="dxa"/>
              <w:bottom w:w="0" w:type="dxa"/>
              <w:right w:w="0" w:type="dxa"/>
            </w:tcMar>
          </w:tcPr>
          <w:p w14:paraId="0B02783D" w14:textId="454DF55B" w:rsidR="00A32BF4" w:rsidRPr="00132473" w:rsidRDefault="0065641B" w:rsidP="000A69A6">
            <w:pPr>
              <w:spacing w:line="276" w:lineRule="auto"/>
              <w:rPr>
                <w:rFonts w:ascii="Calibri" w:hAnsi="Calibri" w:cstheme="minorHAnsi"/>
                <w:sz w:val="20"/>
                <w:szCs w:val="20"/>
              </w:rPr>
            </w:pPr>
            <w:r>
              <w:rPr>
                <w:rFonts w:ascii="Calibri" w:hAnsi="Calibri"/>
                <w:sz w:val="20"/>
                <w:szCs w:val="20"/>
              </w:rPr>
              <w:t>Autumn 2017/ongoing</w:t>
            </w:r>
          </w:p>
        </w:tc>
      </w:tr>
      <w:tr w:rsidR="00EA2493" w:rsidRPr="00132473" w14:paraId="53A42332" w14:textId="77777777" w:rsidTr="002B179D">
        <w:tblPrEx>
          <w:shd w:val="clear" w:color="auto" w:fill="CED7E7"/>
        </w:tblPrEx>
        <w:trPr>
          <w:trHeight w:val="1140"/>
        </w:trPr>
        <w:tc>
          <w:tcPr>
            <w:tcW w:w="3150" w:type="dxa"/>
            <w:tcBorders>
              <w:top w:val="single" w:sz="8" w:space="0" w:color="FFFFFF"/>
              <w:left w:val="single" w:sz="2"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30050C33" w14:textId="3F47C028" w:rsidR="00A32BF4" w:rsidRPr="00132473" w:rsidRDefault="005E1A35" w:rsidP="0024269B">
            <w:pPr>
              <w:pStyle w:val="Listeavsnitt"/>
              <w:numPr>
                <w:ilvl w:val="0"/>
                <w:numId w:val="42"/>
              </w:numPr>
              <w:rPr>
                <w:rFonts w:ascii="Calibri" w:hAnsi="Calibri" w:cstheme="minorHAnsi"/>
                <w:sz w:val="20"/>
                <w:szCs w:val="20"/>
              </w:rPr>
            </w:pPr>
            <w:r>
              <w:rPr>
                <w:rFonts w:ascii="Calibri" w:hAnsi="Calibri"/>
                <w:sz w:val="20"/>
                <w:szCs w:val="20"/>
              </w:rPr>
              <w:t xml:space="preserve">Diversity work shall confer merit and be highlighted in joint events for all staff/students in order to emphasise that </w:t>
            </w:r>
            <w:proofErr w:type="spellStart"/>
            <w:r>
              <w:rPr>
                <w:rFonts w:ascii="Calibri" w:hAnsi="Calibri"/>
                <w:sz w:val="20"/>
                <w:szCs w:val="20"/>
              </w:rPr>
              <w:t>HiOA</w:t>
            </w:r>
            <w:proofErr w:type="spellEnd"/>
            <w:r>
              <w:rPr>
                <w:rFonts w:ascii="Calibri" w:hAnsi="Calibri"/>
                <w:sz w:val="20"/>
                <w:szCs w:val="20"/>
              </w:rPr>
              <w:t xml:space="preserve"> shall have an organisational culture and a working and study environment characterised by diversity </w:t>
            </w:r>
          </w:p>
        </w:tc>
        <w:tc>
          <w:tcPr>
            <w:tcW w:w="2409"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4CB1BE31" w14:textId="02F493A1" w:rsidR="00A32BF4" w:rsidRPr="00132473" w:rsidRDefault="003644B0" w:rsidP="00D06A7F">
            <w:pPr>
              <w:spacing w:line="276" w:lineRule="auto"/>
              <w:rPr>
                <w:rFonts w:ascii="Calibri" w:hAnsi="Calibri" w:cstheme="minorHAnsi"/>
                <w:sz w:val="20"/>
                <w:szCs w:val="20"/>
              </w:rPr>
            </w:pPr>
            <w:r>
              <w:rPr>
                <w:rFonts w:ascii="Calibri" w:hAnsi="Calibri"/>
                <w:sz w:val="20"/>
                <w:szCs w:val="20"/>
              </w:rPr>
              <w:t xml:space="preserve">Diversity prizes shall be established. These prizes shall be awarded to students and staff who have initiated measures or activities to promote diversity at </w:t>
            </w:r>
            <w:proofErr w:type="spellStart"/>
            <w:r>
              <w:rPr>
                <w:rFonts w:ascii="Calibri" w:hAnsi="Calibri"/>
                <w:sz w:val="20"/>
                <w:szCs w:val="20"/>
              </w:rPr>
              <w:t>HiOA</w:t>
            </w:r>
            <w:proofErr w:type="spellEnd"/>
            <w:r>
              <w:rPr>
                <w:rFonts w:ascii="Calibri" w:hAnsi="Calibri"/>
                <w:sz w:val="20"/>
                <w:szCs w:val="20"/>
              </w:rPr>
              <w:t xml:space="preserve">. Criteria for awarding these prizes must be established. </w:t>
            </w:r>
          </w:p>
        </w:tc>
        <w:tc>
          <w:tcPr>
            <w:tcW w:w="2410"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59DA4A72" w14:textId="75A35E1D" w:rsidR="00A32BF4" w:rsidRPr="00132473" w:rsidRDefault="00B30542" w:rsidP="000A69A6">
            <w:pPr>
              <w:spacing w:line="276" w:lineRule="auto"/>
              <w:rPr>
                <w:rFonts w:ascii="Calibri" w:hAnsi="Calibri" w:cstheme="minorHAnsi"/>
                <w:sz w:val="20"/>
                <w:szCs w:val="20"/>
              </w:rPr>
            </w:pPr>
            <w:r>
              <w:rPr>
                <w:rFonts w:ascii="Calibri" w:hAnsi="Calibri"/>
                <w:sz w:val="20"/>
                <w:szCs w:val="20"/>
              </w:rPr>
              <w:t xml:space="preserve">Programme director for culture, diversity and welfare (staff)/Pro-Rector Education (students) </w:t>
            </w:r>
          </w:p>
        </w:tc>
        <w:tc>
          <w:tcPr>
            <w:tcW w:w="1359" w:type="dxa"/>
            <w:tcBorders>
              <w:top w:val="single" w:sz="8" w:space="0" w:color="FFFFFF"/>
              <w:left w:val="single" w:sz="8" w:space="0" w:color="FFFFFF"/>
              <w:bottom w:val="single" w:sz="8" w:space="0" w:color="FFFFFF"/>
              <w:right w:val="single" w:sz="2" w:space="0" w:color="FFFFFF"/>
            </w:tcBorders>
            <w:shd w:val="clear" w:color="auto" w:fill="B8CCE4" w:themeFill="accent1" w:themeFillTint="66"/>
            <w:tcMar>
              <w:top w:w="0" w:type="dxa"/>
              <w:left w:w="0" w:type="dxa"/>
              <w:bottom w:w="0" w:type="dxa"/>
              <w:right w:w="0" w:type="dxa"/>
            </w:tcMar>
          </w:tcPr>
          <w:p w14:paraId="2666DFCB" w14:textId="692E152C" w:rsidR="00A32BF4" w:rsidRPr="00132473" w:rsidRDefault="007146A7" w:rsidP="002829AC">
            <w:pPr>
              <w:spacing w:line="276" w:lineRule="auto"/>
              <w:rPr>
                <w:rFonts w:ascii="Calibri" w:hAnsi="Calibri" w:cstheme="minorHAnsi"/>
                <w:sz w:val="20"/>
                <w:szCs w:val="20"/>
              </w:rPr>
            </w:pPr>
            <w:r>
              <w:rPr>
                <w:rFonts w:ascii="Calibri" w:hAnsi="Calibri"/>
                <w:sz w:val="20"/>
                <w:szCs w:val="20"/>
              </w:rPr>
              <w:t>Start-up 2017, to be awarded annually</w:t>
            </w:r>
            <w:r w:rsidR="0076241A">
              <w:rPr>
                <w:rFonts w:ascii="Calibri" w:hAnsi="Calibri"/>
                <w:sz w:val="20"/>
                <w:szCs w:val="20"/>
              </w:rPr>
              <w:t xml:space="preserve"> </w:t>
            </w:r>
          </w:p>
        </w:tc>
      </w:tr>
      <w:tr w:rsidR="00EA2493" w:rsidRPr="00132473" w14:paraId="3E63C56E" w14:textId="77777777" w:rsidTr="002B179D">
        <w:tblPrEx>
          <w:shd w:val="clear" w:color="auto" w:fill="CED7E7"/>
        </w:tblPrEx>
        <w:trPr>
          <w:trHeight w:val="1980"/>
        </w:trPr>
        <w:tc>
          <w:tcPr>
            <w:tcW w:w="3150" w:type="dxa"/>
            <w:tcBorders>
              <w:top w:val="single" w:sz="8" w:space="0" w:color="FFFFFF"/>
              <w:left w:val="single" w:sz="2"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5AE714B2" w14:textId="5C15C06A" w:rsidR="00A32BF4" w:rsidRPr="00132473" w:rsidRDefault="004902DD" w:rsidP="0024269B">
            <w:pPr>
              <w:pStyle w:val="Listeavsnitt"/>
              <w:numPr>
                <w:ilvl w:val="0"/>
                <w:numId w:val="42"/>
              </w:numPr>
              <w:rPr>
                <w:rFonts w:ascii="Calibri" w:hAnsi="Calibri" w:cstheme="minorHAnsi"/>
                <w:sz w:val="20"/>
                <w:szCs w:val="20"/>
              </w:rPr>
            </w:pPr>
            <w:r>
              <w:rPr>
                <w:rFonts w:ascii="Calibri" w:hAnsi="Calibri"/>
                <w:sz w:val="20"/>
                <w:szCs w:val="20"/>
              </w:rPr>
              <w:t xml:space="preserve">The diversity competence of the </w:t>
            </w:r>
            <w:proofErr w:type="spellStart"/>
            <w:r>
              <w:rPr>
                <w:rFonts w:ascii="Calibri" w:hAnsi="Calibri"/>
                <w:sz w:val="20"/>
                <w:szCs w:val="20"/>
              </w:rPr>
              <w:t>HiOA</w:t>
            </w:r>
            <w:proofErr w:type="spellEnd"/>
            <w:r>
              <w:rPr>
                <w:rFonts w:ascii="Calibri" w:hAnsi="Calibri"/>
                <w:sz w:val="20"/>
                <w:szCs w:val="20"/>
              </w:rPr>
              <w:t xml:space="preserve"> managers shall be raised to enable them to translate the core value diversity into practical management and governance</w:t>
            </w:r>
          </w:p>
        </w:tc>
        <w:tc>
          <w:tcPr>
            <w:tcW w:w="2409"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6E11E134" w14:textId="15E6D108" w:rsidR="002E337E" w:rsidRPr="00132473" w:rsidRDefault="00332435" w:rsidP="000E23C5">
            <w:pPr>
              <w:spacing w:line="276" w:lineRule="auto"/>
              <w:rPr>
                <w:rFonts w:ascii="Calibri" w:hAnsi="Calibri" w:cstheme="minorHAnsi"/>
                <w:sz w:val="20"/>
                <w:szCs w:val="20"/>
              </w:rPr>
            </w:pPr>
            <w:r>
              <w:rPr>
                <w:rFonts w:ascii="Calibri" w:hAnsi="Calibri"/>
                <w:sz w:val="20"/>
                <w:szCs w:val="20"/>
              </w:rPr>
              <w:t xml:space="preserve">The programme for diversity management in the university, university college and institute sector shall be developed further and fully integrated in management development </w:t>
            </w:r>
          </w:p>
        </w:tc>
        <w:tc>
          <w:tcPr>
            <w:tcW w:w="2410"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3EF9815A" w14:textId="4FD1A793" w:rsidR="00A32BF4" w:rsidRPr="00132473" w:rsidRDefault="00332435" w:rsidP="000A69A6">
            <w:pPr>
              <w:spacing w:line="276" w:lineRule="auto"/>
              <w:rPr>
                <w:rFonts w:ascii="Calibri" w:hAnsi="Calibri" w:cstheme="minorHAnsi"/>
                <w:sz w:val="20"/>
                <w:szCs w:val="20"/>
              </w:rPr>
            </w:pPr>
            <w:r>
              <w:rPr>
                <w:rFonts w:ascii="Calibri" w:hAnsi="Calibri"/>
                <w:sz w:val="20"/>
                <w:szCs w:val="20"/>
              </w:rPr>
              <w:t>Programme directors for leadership development and for culture, diversity and welfare, respectively</w:t>
            </w:r>
          </w:p>
        </w:tc>
        <w:tc>
          <w:tcPr>
            <w:tcW w:w="1359" w:type="dxa"/>
            <w:tcBorders>
              <w:top w:val="single" w:sz="8" w:space="0" w:color="FFFFFF"/>
              <w:left w:val="single" w:sz="8" w:space="0" w:color="FFFFFF"/>
              <w:bottom w:val="single" w:sz="8" w:space="0" w:color="FFFFFF"/>
              <w:right w:val="single" w:sz="2" w:space="0" w:color="FFFFFF"/>
            </w:tcBorders>
            <w:shd w:val="clear" w:color="auto" w:fill="B8CCE4" w:themeFill="accent1" w:themeFillTint="66"/>
            <w:tcMar>
              <w:top w:w="0" w:type="dxa"/>
              <w:left w:w="0" w:type="dxa"/>
              <w:bottom w:w="0" w:type="dxa"/>
              <w:right w:w="0" w:type="dxa"/>
            </w:tcMar>
          </w:tcPr>
          <w:p w14:paraId="04E41E1C" w14:textId="54CD183A" w:rsidR="00A32BF4" w:rsidRPr="00132473" w:rsidRDefault="002E337E" w:rsidP="000A69A6">
            <w:pPr>
              <w:spacing w:line="276" w:lineRule="auto"/>
              <w:rPr>
                <w:rFonts w:ascii="Calibri" w:hAnsi="Calibri" w:cstheme="minorHAnsi"/>
                <w:sz w:val="20"/>
                <w:szCs w:val="20"/>
              </w:rPr>
            </w:pPr>
            <w:r>
              <w:rPr>
                <w:rFonts w:ascii="Calibri" w:hAnsi="Calibri"/>
                <w:sz w:val="20"/>
                <w:szCs w:val="20"/>
              </w:rPr>
              <w:t>31 Dec. 2017</w:t>
            </w:r>
          </w:p>
        </w:tc>
      </w:tr>
      <w:tr w:rsidR="00EA2493" w:rsidRPr="00132473" w14:paraId="54FE1EA6" w14:textId="77777777" w:rsidTr="002B179D">
        <w:tblPrEx>
          <w:shd w:val="clear" w:color="auto" w:fill="CED7E7"/>
        </w:tblPrEx>
        <w:trPr>
          <w:trHeight w:val="1700"/>
        </w:trPr>
        <w:tc>
          <w:tcPr>
            <w:tcW w:w="3150" w:type="dxa"/>
            <w:tcBorders>
              <w:top w:val="single" w:sz="8" w:space="0" w:color="FFFFFF"/>
              <w:left w:val="single" w:sz="2" w:space="0" w:color="FFFFFF"/>
              <w:bottom w:val="single" w:sz="8" w:space="0" w:color="FFFFFF"/>
              <w:right w:val="single" w:sz="8" w:space="0" w:color="FFFFFF"/>
            </w:tcBorders>
            <w:shd w:val="clear" w:color="auto" w:fill="CED7E7"/>
            <w:tcMar>
              <w:top w:w="0" w:type="dxa"/>
              <w:left w:w="0" w:type="dxa"/>
              <w:bottom w:w="0" w:type="dxa"/>
              <w:right w:w="0" w:type="dxa"/>
            </w:tcMar>
          </w:tcPr>
          <w:p w14:paraId="74D2E886" w14:textId="7177FA95" w:rsidR="00A32BF4" w:rsidRPr="00132473" w:rsidRDefault="00B30542" w:rsidP="0024269B">
            <w:pPr>
              <w:pStyle w:val="Listeavsnitt"/>
              <w:numPr>
                <w:ilvl w:val="0"/>
                <w:numId w:val="42"/>
              </w:numPr>
              <w:rPr>
                <w:rFonts w:ascii="Calibri" w:hAnsi="Calibri" w:cstheme="minorHAnsi"/>
                <w:sz w:val="20"/>
                <w:szCs w:val="20"/>
              </w:rPr>
            </w:pPr>
            <w:proofErr w:type="spellStart"/>
            <w:r>
              <w:rPr>
                <w:rFonts w:ascii="Calibri" w:hAnsi="Calibri"/>
                <w:sz w:val="20"/>
                <w:szCs w:val="20"/>
              </w:rPr>
              <w:t>HiOA</w:t>
            </w:r>
            <w:proofErr w:type="spellEnd"/>
            <w:r>
              <w:rPr>
                <w:rFonts w:ascii="Calibri" w:hAnsi="Calibri"/>
                <w:sz w:val="20"/>
                <w:szCs w:val="20"/>
              </w:rPr>
              <w:t xml:space="preserve"> shall be established as an arena for the exchange of knowledge and experience of diversity in Norwegian academia in order to be a driving force in exploring what the expanded equality concept will mean to the sector </w:t>
            </w:r>
          </w:p>
        </w:tc>
        <w:tc>
          <w:tcPr>
            <w:tcW w:w="2409"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14:paraId="4EA7ADA6" w14:textId="1A144C0C" w:rsidR="005132F1" w:rsidRPr="00132473" w:rsidRDefault="005132F1" w:rsidP="005132F1">
            <w:pPr>
              <w:rPr>
                <w:rFonts w:ascii="Calibri" w:hAnsi="Calibri" w:cstheme="minorHAnsi"/>
                <w:sz w:val="20"/>
                <w:szCs w:val="20"/>
              </w:rPr>
            </w:pPr>
            <w:r>
              <w:rPr>
                <w:rFonts w:ascii="Calibri" w:hAnsi="Calibri"/>
                <w:sz w:val="20"/>
                <w:szCs w:val="20"/>
              </w:rPr>
              <w:t xml:space="preserve">Examples of measures: </w:t>
            </w:r>
          </w:p>
          <w:p w14:paraId="524E34AC" w14:textId="5F972885" w:rsidR="00A27054" w:rsidRPr="00132473" w:rsidRDefault="00A27054" w:rsidP="00132473">
            <w:pPr>
              <w:pStyle w:val="Listeavsnitt"/>
              <w:numPr>
                <w:ilvl w:val="0"/>
                <w:numId w:val="35"/>
              </w:numPr>
              <w:rPr>
                <w:rFonts w:ascii="Calibri" w:hAnsi="Calibri" w:cstheme="minorHAnsi"/>
                <w:sz w:val="20"/>
                <w:szCs w:val="20"/>
              </w:rPr>
            </w:pPr>
            <w:proofErr w:type="spellStart"/>
            <w:r>
              <w:rPr>
                <w:rFonts w:ascii="Calibri" w:hAnsi="Calibri"/>
                <w:sz w:val="20"/>
                <w:szCs w:val="20"/>
              </w:rPr>
              <w:t>HiOA</w:t>
            </w:r>
            <w:proofErr w:type="spellEnd"/>
            <w:r>
              <w:rPr>
                <w:rFonts w:ascii="Calibri" w:hAnsi="Calibri"/>
                <w:sz w:val="20"/>
                <w:szCs w:val="20"/>
              </w:rPr>
              <w:t xml:space="preserve"> will host the national networking conference for diversity in the university and university college sector in 2017 </w:t>
            </w:r>
          </w:p>
          <w:p w14:paraId="1BA01F4A" w14:textId="2D7C5919" w:rsidR="007F0502" w:rsidRPr="00132473" w:rsidRDefault="002B179D" w:rsidP="007F0502">
            <w:pPr>
              <w:pStyle w:val="Listeavsnitt"/>
              <w:numPr>
                <w:ilvl w:val="0"/>
                <w:numId w:val="35"/>
              </w:numPr>
              <w:rPr>
                <w:rFonts w:ascii="Calibri" w:hAnsi="Calibri" w:cstheme="minorHAnsi"/>
                <w:sz w:val="20"/>
                <w:szCs w:val="20"/>
              </w:rPr>
            </w:pPr>
            <w:r>
              <w:rPr>
                <w:rFonts w:ascii="Calibri" w:hAnsi="Calibri"/>
                <w:sz w:val="20"/>
                <w:szCs w:val="20"/>
              </w:rPr>
              <w:t>A diversity management programme shall be offered to the whole university, university college and institute sector</w:t>
            </w:r>
          </w:p>
          <w:p w14:paraId="0242F844" w14:textId="793550FA" w:rsidR="00A32BF4" w:rsidRPr="00132473" w:rsidRDefault="00A32BF4" w:rsidP="00132473">
            <w:pPr>
              <w:rPr>
                <w:rFonts w:ascii="Calibri" w:hAnsi="Calibri" w:cstheme="minorHAnsi"/>
                <w:sz w:val="20"/>
                <w:szCs w:val="20"/>
              </w:rPr>
            </w:pPr>
          </w:p>
        </w:tc>
        <w:tc>
          <w:tcPr>
            <w:tcW w:w="2410"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14:paraId="5E3AFBBA" w14:textId="21EA67D8" w:rsidR="00A32BF4" w:rsidRPr="00132473" w:rsidRDefault="007F0502" w:rsidP="000A69A6">
            <w:pPr>
              <w:spacing w:line="276" w:lineRule="auto"/>
              <w:rPr>
                <w:rFonts w:ascii="Calibri" w:hAnsi="Calibri" w:cstheme="minorHAnsi"/>
                <w:sz w:val="20"/>
                <w:szCs w:val="20"/>
              </w:rPr>
            </w:pPr>
            <w:r>
              <w:rPr>
                <w:rFonts w:ascii="Calibri" w:hAnsi="Calibri"/>
                <w:sz w:val="20"/>
                <w:szCs w:val="20"/>
              </w:rPr>
              <w:t xml:space="preserve">Rector/diversity officer/resource group for the programme for diversity management in the university, university college and institute sector </w:t>
            </w:r>
          </w:p>
        </w:tc>
        <w:tc>
          <w:tcPr>
            <w:tcW w:w="1359" w:type="dxa"/>
            <w:tcBorders>
              <w:top w:val="single" w:sz="8" w:space="0" w:color="FFFFFF"/>
              <w:left w:val="single" w:sz="8" w:space="0" w:color="FFFFFF"/>
              <w:bottom w:val="single" w:sz="8" w:space="0" w:color="FFFFFF"/>
              <w:right w:val="single" w:sz="2" w:space="0" w:color="FFFFFF"/>
            </w:tcBorders>
            <w:shd w:val="clear" w:color="auto" w:fill="CED7E7"/>
            <w:tcMar>
              <w:top w:w="0" w:type="dxa"/>
              <w:left w:w="0" w:type="dxa"/>
              <w:bottom w:w="0" w:type="dxa"/>
              <w:right w:w="0" w:type="dxa"/>
            </w:tcMar>
          </w:tcPr>
          <w:p w14:paraId="17D8032A" w14:textId="2F5B6AC6" w:rsidR="00A32BF4" w:rsidRPr="00132473" w:rsidRDefault="00354F4E" w:rsidP="000A69A6">
            <w:pPr>
              <w:spacing w:line="276" w:lineRule="auto"/>
              <w:rPr>
                <w:rFonts w:ascii="Calibri" w:hAnsi="Calibri" w:cstheme="minorHAnsi"/>
                <w:sz w:val="20"/>
                <w:szCs w:val="20"/>
              </w:rPr>
            </w:pPr>
            <w:r>
              <w:rPr>
                <w:rFonts w:ascii="Calibri" w:hAnsi="Calibri"/>
                <w:sz w:val="20"/>
                <w:szCs w:val="20"/>
              </w:rPr>
              <w:t>Ongoing</w:t>
            </w:r>
          </w:p>
        </w:tc>
      </w:tr>
    </w:tbl>
    <w:p w14:paraId="33EAAF94" w14:textId="77777777" w:rsidR="00A32BF4" w:rsidRPr="000E1920" w:rsidRDefault="00A32BF4" w:rsidP="000A69A6">
      <w:pPr>
        <w:spacing w:line="276" w:lineRule="auto"/>
        <w:rPr>
          <w:rFonts w:ascii="Calibri" w:hAnsi="Calibri" w:cstheme="minorHAnsi"/>
        </w:rPr>
      </w:pPr>
    </w:p>
    <w:p w14:paraId="428BD067" w14:textId="34EF0AED" w:rsidR="00EA2493" w:rsidRPr="000E1920" w:rsidRDefault="00EA2493" w:rsidP="000A69A6">
      <w:pPr>
        <w:spacing w:line="276" w:lineRule="auto"/>
        <w:rPr>
          <w:rFonts w:ascii="Calibri" w:hAnsi="Calibri" w:cstheme="minorHAnsi"/>
        </w:rPr>
      </w:pPr>
    </w:p>
    <w:tbl>
      <w:tblPr>
        <w:tblW w:w="9328" w:type="dxa"/>
        <w:tblInd w:w="108" w:type="dxa"/>
        <w:tblBorders>
          <w:top w:val="single" w:sz="8" w:space="0" w:color="FFFFFF"/>
          <w:left w:val="single" w:sz="8" w:space="0" w:color="FFFFFF"/>
          <w:bottom w:val="single" w:sz="8" w:space="0" w:color="FFFFFF"/>
          <w:right w:val="single" w:sz="8" w:space="0" w:color="FFFFFF"/>
          <w:insideH w:val="single" w:sz="2" w:space="0" w:color="FFFFFF"/>
          <w:insideV w:val="single" w:sz="2" w:space="0" w:color="FFFFFF"/>
        </w:tblBorders>
        <w:shd w:val="clear" w:color="auto" w:fill="4F81BD"/>
        <w:tblLayout w:type="fixed"/>
        <w:tblLook w:val="04A0" w:firstRow="1" w:lastRow="0" w:firstColumn="1" w:lastColumn="0" w:noHBand="0" w:noVBand="1"/>
      </w:tblPr>
      <w:tblGrid>
        <w:gridCol w:w="2724"/>
        <w:gridCol w:w="3544"/>
        <w:gridCol w:w="1559"/>
        <w:gridCol w:w="1501"/>
      </w:tblGrid>
      <w:tr w:rsidR="00E81424" w:rsidRPr="000E1920" w14:paraId="4DDD3DEB" w14:textId="77777777" w:rsidTr="003D277C">
        <w:trPr>
          <w:trHeight w:val="453"/>
          <w:tblHeader/>
        </w:trPr>
        <w:tc>
          <w:tcPr>
            <w:tcW w:w="9328" w:type="dxa"/>
            <w:gridSpan w:val="4"/>
            <w:tcBorders>
              <w:top w:val="single" w:sz="2" w:space="0" w:color="FFFFFF"/>
              <w:left w:val="single" w:sz="2" w:space="0" w:color="FFFFFF"/>
              <w:bottom w:val="single" w:sz="24" w:space="0" w:color="FFFFFF"/>
              <w:right w:val="single" w:sz="2" w:space="0" w:color="FFFFFF"/>
            </w:tcBorders>
            <w:shd w:val="clear" w:color="auto" w:fill="4F81BD"/>
            <w:tcMar>
              <w:top w:w="0" w:type="dxa"/>
              <w:left w:w="0" w:type="dxa"/>
              <w:bottom w:w="0" w:type="dxa"/>
              <w:right w:w="0" w:type="dxa"/>
            </w:tcMar>
          </w:tcPr>
          <w:p w14:paraId="35F42CCC" w14:textId="1FCC93B3" w:rsidR="00E81424" w:rsidRPr="002C084A" w:rsidRDefault="00EA2493" w:rsidP="002C084A">
            <w:pPr>
              <w:pStyle w:val="Listeavsnitt"/>
              <w:numPr>
                <w:ilvl w:val="0"/>
                <w:numId w:val="29"/>
              </w:numPr>
              <w:jc w:val="center"/>
              <w:rPr>
                <w:rFonts w:ascii="Calibri" w:hAnsi="Calibri" w:cstheme="minorHAnsi"/>
                <w:sz w:val="24"/>
                <w:szCs w:val="24"/>
              </w:rPr>
            </w:pPr>
            <w:r>
              <w:rPr>
                <w:rFonts w:ascii="Calibri" w:hAnsi="Calibri"/>
                <w:sz w:val="24"/>
                <w:szCs w:val="24"/>
              </w:rPr>
              <w:t>Faculty and centre level – research and education</w:t>
            </w:r>
          </w:p>
          <w:p w14:paraId="08C6CE19" w14:textId="5C296D69" w:rsidR="00E81424" w:rsidRPr="000E1920" w:rsidRDefault="00E81424" w:rsidP="002C084A">
            <w:pPr>
              <w:pStyle w:val="Listeavsnitt"/>
              <w:ind w:left="0"/>
              <w:jc w:val="center"/>
              <w:rPr>
                <w:rFonts w:ascii="Calibri" w:hAnsi="Calibri" w:cstheme="minorHAnsi"/>
                <w:sz w:val="28"/>
                <w:szCs w:val="28"/>
              </w:rPr>
            </w:pPr>
            <w:r>
              <w:rPr>
                <w:rFonts w:ascii="Calibri" w:hAnsi="Calibri"/>
                <w:color w:val="FFFFFF" w:themeColor="background1"/>
                <w:sz w:val="24"/>
                <w:szCs w:val="24"/>
              </w:rPr>
              <w:t>Main goal: The faculties shall apply an effective local diversity policy, and relevant diversity perspectives shall be integrated into research and development.</w:t>
            </w:r>
          </w:p>
        </w:tc>
      </w:tr>
      <w:tr w:rsidR="00EA2493" w:rsidRPr="000E1920" w14:paraId="6BFA08AD" w14:textId="77777777" w:rsidTr="00D42FE5">
        <w:trPr>
          <w:trHeight w:val="453"/>
          <w:tblHeader/>
        </w:trPr>
        <w:tc>
          <w:tcPr>
            <w:tcW w:w="2724" w:type="dxa"/>
            <w:tcBorders>
              <w:top w:val="single" w:sz="2" w:space="0" w:color="FFFFFF"/>
              <w:left w:val="single" w:sz="2" w:space="0" w:color="FFFFFF"/>
              <w:bottom w:val="single" w:sz="24" w:space="0" w:color="FFFFFF"/>
              <w:right w:val="single" w:sz="8" w:space="0" w:color="FFFFFF"/>
            </w:tcBorders>
            <w:shd w:val="clear" w:color="auto" w:fill="4F81BD"/>
            <w:tcMar>
              <w:top w:w="0" w:type="dxa"/>
              <w:left w:w="0" w:type="dxa"/>
              <w:bottom w:w="0" w:type="dxa"/>
              <w:right w:w="0" w:type="dxa"/>
            </w:tcMar>
          </w:tcPr>
          <w:p w14:paraId="3B9D39FC" w14:textId="77777777" w:rsidR="00EA2493" w:rsidRPr="00D6339C" w:rsidRDefault="00EA2493" w:rsidP="000A69A6">
            <w:pPr>
              <w:spacing w:line="276" w:lineRule="auto"/>
              <w:rPr>
                <w:rFonts w:ascii="Calibri" w:hAnsi="Calibri" w:cstheme="minorHAnsi"/>
                <w:sz w:val="22"/>
                <w:szCs w:val="22"/>
              </w:rPr>
            </w:pPr>
            <w:r>
              <w:rPr>
                <w:rFonts w:ascii="Calibri" w:hAnsi="Calibri"/>
                <w:sz w:val="22"/>
                <w:szCs w:val="22"/>
              </w:rPr>
              <w:t>Goals</w:t>
            </w:r>
          </w:p>
        </w:tc>
        <w:tc>
          <w:tcPr>
            <w:tcW w:w="3544" w:type="dxa"/>
            <w:tcBorders>
              <w:top w:val="single" w:sz="2"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tcPr>
          <w:p w14:paraId="19C65BAE" w14:textId="77777777" w:rsidR="00EA2493" w:rsidRPr="00D6339C" w:rsidRDefault="00EA2493" w:rsidP="000A69A6">
            <w:pPr>
              <w:spacing w:line="276" w:lineRule="auto"/>
              <w:rPr>
                <w:rFonts w:ascii="Calibri" w:hAnsi="Calibri" w:cstheme="minorHAnsi"/>
                <w:sz w:val="22"/>
                <w:szCs w:val="22"/>
              </w:rPr>
            </w:pPr>
            <w:r>
              <w:rPr>
                <w:rFonts w:ascii="Calibri" w:hAnsi="Calibri"/>
                <w:sz w:val="22"/>
                <w:szCs w:val="22"/>
              </w:rPr>
              <w:t>Measures</w:t>
            </w:r>
          </w:p>
        </w:tc>
        <w:tc>
          <w:tcPr>
            <w:tcW w:w="1559" w:type="dxa"/>
            <w:tcBorders>
              <w:top w:val="single" w:sz="2"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tcPr>
          <w:p w14:paraId="69B7E199" w14:textId="77777777" w:rsidR="00EA2493" w:rsidRPr="00D6339C" w:rsidRDefault="00EA2493" w:rsidP="000A69A6">
            <w:pPr>
              <w:spacing w:line="276" w:lineRule="auto"/>
              <w:rPr>
                <w:rFonts w:ascii="Calibri" w:hAnsi="Calibri" w:cstheme="minorHAnsi"/>
                <w:sz w:val="22"/>
                <w:szCs w:val="22"/>
              </w:rPr>
            </w:pPr>
            <w:r>
              <w:rPr>
                <w:rFonts w:ascii="Calibri" w:hAnsi="Calibri"/>
                <w:sz w:val="22"/>
                <w:szCs w:val="22"/>
              </w:rPr>
              <w:t>Responsibility</w:t>
            </w:r>
          </w:p>
        </w:tc>
        <w:tc>
          <w:tcPr>
            <w:tcW w:w="1501" w:type="dxa"/>
            <w:tcBorders>
              <w:top w:val="single" w:sz="2" w:space="0" w:color="FFFFFF"/>
              <w:left w:val="single" w:sz="8" w:space="0" w:color="FFFFFF"/>
              <w:bottom w:val="single" w:sz="24" w:space="0" w:color="FFFFFF"/>
              <w:right w:val="single" w:sz="2" w:space="0" w:color="FFFFFF"/>
            </w:tcBorders>
            <w:shd w:val="clear" w:color="auto" w:fill="4F81BD"/>
            <w:tcMar>
              <w:top w:w="0" w:type="dxa"/>
              <w:left w:w="0" w:type="dxa"/>
              <w:bottom w:w="0" w:type="dxa"/>
              <w:right w:w="0" w:type="dxa"/>
            </w:tcMar>
          </w:tcPr>
          <w:p w14:paraId="4E569E0C" w14:textId="77777777" w:rsidR="00EA2493" w:rsidRPr="00D6339C" w:rsidRDefault="00EA2493" w:rsidP="000A69A6">
            <w:pPr>
              <w:spacing w:line="276" w:lineRule="auto"/>
              <w:rPr>
                <w:rFonts w:ascii="Calibri" w:hAnsi="Calibri" w:cstheme="minorHAnsi"/>
                <w:sz w:val="22"/>
                <w:szCs w:val="22"/>
              </w:rPr>
            </w:pPr>
            <w:r>
              <w:rPr>
                <w:rFonts w:ascii="Calibri" w:hAnsi="Calibri"/>
                <w:sz w:val="22"/>
                <w:szCs w:val="22"/>
              </w:rPr>
              <w:t>Deadline</w:t>
            </w:r>
          </w:p>
        </w:tc>
      </w:tr>
      <w:tr w:rsidR="00EA2493" w:rsidRPr="00132473" w14:paraId="2ADD50F2" w14:textId="77777777" w:rsidTr="00D42FE5">
        <w:tblPrEx>
          <w:shd w:val="clear" w:color="auto" w:fill="CED7E7"/>
        </w:tblPrEx>
        <w:trPr>
          <w:trHeight w:val="3076"/>
        </w:trPr>
        <w:tc>
          <w:tcPr>
            <w:tcW w:w="2724" w:type="dxa"/>
            <w:tcBorders>
              <w:top w:val="single" w:sz="8" w:space="0" w:color="FFFFFF"/>
              <w:left w:val="single" w:sz="2"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722BB846" w14:textId="41E50287" w:rsidR="00EA2493" w:rsidRPr="00132473" w:rsidRDefault="00363B13" w:rsidP="0024269B">
            <w:pPr>
              <w:pStyle w:val="Listeavsnitt"/>
              <w:numPr>
                <w:ilvl w:val="0"/>
                <w:numId w:val="43"/>
              </w:numPr>
              <w:rPr>
                <w:rFonts w:ascii="Calibri" w:hAnsi="Calibri" w:cstheme="minorHAnsi"/>
                <w:sz w:val="20"/>
                <w:szCs w:val="20"/>
              </w:rPr>
            </w:pPr>
            <w:r>
              <w:rPr>
                <w:rFonts w:ascii="Calibri" w:hAnsi="Calibri"/>
                <w:sz w:val="20"/>
                <w:szCs w:val="20"/>
              </w:rPr>
              <w:t>The work to promote diversity and prevent discrimination shall be systematised at faculty and centre level to ensure that measures are expedient in the existing situation</w:t>
            </w:r>
          </w:p>
        </w:tc>
        <w:tc>
          <w:tcPr>
            <w:tcW w:w="3544"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22A07704" w14:textId="59F5144F" w:rsidR="00EA2493" w:rsidRPr="00132473" w:rsidRDefault="00F63EBD" w:rsidP="00363B13">
            <w:pPr>
              <w:spacing w:line="276" w:lineRule="auto"/>
              <w:rPr>
                <w:rFonts w:ascii="Calibri" w:hAnsi="Calibri" w:cstheme="minorHAnsi"/>
                <w:sz w:val="20"/>
                <w:szCs w:val="20"/>
              </w:rPr>
            </w:pPr>
            <w:r>
              <w:rPr>
                <w:rFonts w:ascii="Calibri" w:hAnsi="Calibri"/>
                <w:sz w:val="20"/>
                <w:szCs w:val="20"/>
              </w:rPr>
              <w:t xml:space="preserve">Local action plans for diversity shall be prepared and implemented that address the duty to actively promote equality’s focus on gender, ethnicity and functional impairment as grounds for discrimination. The central HR department will prepare a common template and toolbox with research-based proposals for measures. The local action plans shall be linked to the central action plan. </w:t>
            </w:r>
          </w:p>
        </w:tc>
        <w:tc>
          <w:tcPr>
            <w:tcW w:w="1559"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010288C2" w14:textId="55843225" w:rsidR="00EA2493" w:rsidRPr="00132473" w:rsidRDefault="00EA2493" w:rsidP="000A69A6">
            <w:pPr>
              <w:spacing w:line="276" w:lineRule="auto"/>
              <w:rPr>
                <w:rFonts w:ascii="Calibri" w:hAnsi="Calibri" w:cstheme="minorHAnsi"/>
                <w:sz w:val="20"/>
                <w:szCs w:val="20"/>
              </w:rPr>
            </w:pPr>
            <w:r>
              <w:rPr>
                <w:rFonts w:ascii="Calibri" w:hAnsi="Calibri"/>
                <w:sz w:val="20"/>
                <w:szCs w:val="20"/>
              </w:rPr>
              <w:t xml:space="preserve">Deans/heads of centres/HR director </w:t>
            </w:r>
          </w:p>
        </w:tc>
        <w:tc>
          <w:tcPr>
            <w:tcW w:w="1501" w:type="dxa"/>
            <w:tcBorders>
              <w:top w:val="single" w:sz="8" w:space="0" w:color="FFFFFF"/>
              <w:left w:val="single" w:sz="8" w:space="0" w:color="FFFFFF"/>
              <w:bottom w:val="single" w:sz="8" w:space="0" w:color="FFFFFF"/>
              <w:right w:val="single" w:sz="2" w:space="0" w:color="FFFFFF"/>
            </w:tcBorders>
            <w:shd w:val="clear" w:color="auto" w:fill="B8CCE4" w:themeFill="accent1" w:themeFillTint="66"/>
            <w:tcMar>
              <w:top w:w="0" w:type="dxa"/>
              <w:left w:w="0" w:type="dxa"/>
              <w:bottom w:w="0" w:type="dxa"/>
              <w:right w:w="0" w:type="dxa"/>
            </w:tcMar>
          </w:tcPr>
          <w:p w14:paraId="594525B5" w14:textId="008B1468" w:rsidR="00EA2493" w:rsidRPr="00132473" w:rsidRDefault="00A4049A" w:rsidP="000A69A6">
            <w:pPr>
              <w:spacing w:line="276" w:lineRule="auto"/>
              <w:rPr>
                <w:rFonts w:ascii="Calibri" w:hAnsi="Calibri" w:cstheme="minorHAnsi"/>
                <w:sz w:val="20"/>
                <w:szCs w:val="20"/>
              </w:rPr>
            </w:pPr>
            <w:r>
              <w:rPr>
                <w:rFonts w:ascii="Calibri" w:hAnsi="Calibri"/>
                <w:sz w:val="20"/>
                <w:szCs w:val="20"/>
              </w:rPr>
              <w:t>To be completed by 1 Aug. 2018</w:t>
            </w:r>
          </w:p>
          <w:p w14:paraId="4CC4898A" w14:textId="762FCAC8" w:rsidR="00EA2493" w:rsidRPr="00132473" w:rsidRDefault="00C55B4C" w:rsidP="000A69A6">
            <w:pPr>
              <w:spacing w:line="276" w:lineRule="auto"/>
              <w:rPr>
                <w:rFonts w:ascii="Calibri" w:hAnsi="Calibri" w:cstheme="minorHAnsi"/>
                <w:sz w:val="20"/>
                <w:szCs w:val="20"/>
              </w:rPr>
            </w:pPr>
            <w:r>
              <w:rPr>
                <w:rFonts w:ascii="Calibri" w:hAnsi="Calibri"/>
                <w:sz w:val="20"/>
                <w:szCs w:val="20"/>
              </w:rPr>
              <w:t>To be implemented by 31 Dec. 2019</w:t>
            </w:r>
          </w:p>
        </w:tc>
      </w:tr>
      <w:tr w:rsidR="00EA2493" w:rsidRPr="00132473" w14:paraId="182FCD70" w14:textId="77777777" w:rsidTr="00D42FE5">
        <w:tblPrEx>
          <w:shd w:val="clear" w:color="auto" w:fill="CED7E7"/>
        </w:tblPrEx>
        <w:trPr>
          <w:trHeight w:val="1933"/>
        </w:trPr>
        <w:tc>
          <w:tcPr>
            <w:tcW w:w="2724" w:type="dxa"/>
            <w:tcBorders>
              <w:top w:val="single" w:sz="8" w:space="0" w:color="FFFFFF"/>
              <w:left w:val="single" w:sz="2" w:space="0" w:color="FFFFFF"/>
              <w:bottom w:val="single" w:sz="8" w:space="0" w:color="FFFFFF"/>
              <w:right w:val="single" w:sz="8" w:space="0" w:color="FFFFFF"/>
            </w:tcBorders>
            <w:shd w:val="clear" w:color="auto" w:fill="DBE5F1" w:themeFill="accent1" w:themeFillTint="33"/>
            <w:tcMar>
              <w:top w:w="0" w:type="dxa"/>
              <w:left w:w="0" w:type="dxa"/>
              <w:bottom w:w="0" w:type="dxa"/>
              <w:right w:w="0" w:type="dxa"/>
            </w:tcMar>
          </w:tcPr>
          <w:p w14:paraId="07771747" w14:textId="6913581C" w:rsidR="00EA2493" w:rsidRPr="00132473" w:rsidRDefault="0055593B" w:rsidP="0024269B">
            <w:pPr>
              <w:pStyle w:val="Listeavsnitt"/>
              <w:numPr>
                <w:ilvl w:val="0"/>
                <w:numId w:val="43"/>
              </w:numPr>
              <w:rPr>
                <w:rFonts w:ascii="Calibri" w:hAnsi="Calibri" w:cstheme="minorHAnsi"/>
                <w:sz w:val="20"/>
                <w:szCs w:val="20"/>
              </w:rPr>
            </w:pPr>
            <w:proofErr w:type="spellStart"/>
            <w:r>
              <w:rPr>
                <w:rFonts w:ascii="Calibri" w:hAnsi="Calibri"/>
                <w:sz w:val="20"/>
                <w:szCs w:val="20"/>
              </w:rPr>
              <w:t>HiOA’s</w:t>
            </w:r>
            <w:proofErr w:type="spellEnd"/>
            <w:r>
              <w:rPr>
                <w:rFonts w:ascii="Calibri" w:hAnsi="Calibri"/>
                <w:sz w:val="20"/>
                <w:szCs w:val="20"/>
              </w:rPr>
              <w:t xml:space="preserve"> teaching activities and teaching material shall be universally designed to ensure that everyone has equal access to education</w:t>
            </w:r>
          </w:p>
        </w:tc>
        <w:tc>
          <w:tcPr>
            <w:tcW w:w="354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0" w:type="dxa"/>
              <w:left w:w="0" w:type="dxa"/>
              <w:bottom w:w="0" w:type="dxa"/>
              <w:right w:w="0" w:type="dxa"/>
            </w:tcMar>
          </w:tcPr>
          <w:p w14:paraId="7EC4BD94" w14:textId="087F9E21" w:rsidR="00EA2493" w:rsidRPr="00132473" w:rsidRDefault="00757384" w:rsidP="00D42FE5">
            <w:pPr>
              <w:spacing w:line="276" w:lineRule="auto"/>
              <w:rPr>
                <w:rFonts w:ascii="Calibri" w:hAnsi="Calibri" w:cstheme="minorHAnsi"/>
                <w:sz w:val="20"/>
                <w:szCs w:val="20"/>
              </w:rPr>
            </w:pPr>
            <w:r>
              <w:rPr>
                <w:rFonts w:ascii="Calibri" w:hAnsi="Calibri"/>
                <w:sz w:val="20"/>
                <w:szCs w:val="20"/>
              </w:rPr>
              <w:t xml:space="preserve">Training in universal ICT design shall be developed further and made available through the </w:t>
            </w:r>
            <w:proofErr w:type="spellStart"/>
            <w:r>
              <w:rPr>
                <w:rFonts w:ascii="Calibri" w:hAnsi="Calibri"/>
                <w:sz w:val="20"/>
                <w:szCs w:val="20"/>
              </w:rPr>
              <w:t>HiOA</w:t>
            </w:r>
            <w:proofErr w:type="spellEnd"/>
            <w:r>
              <w:rPr>
                <w:rFonts w:ascii="Calibri" w:hAnsi="Calibri"/>
                <w:sz w:val="20"/>
                <w:szCs w:val="20"/>
              </w:rPr>
              <w:t xml:space="preserve"> Academy. The Department of Computer Science can be a resource to draw on in the work to meet the statutory requirements for universal design in ICT solutions in the university and university college sector by 2021. </w:t>
            </w:r>
          </w:p>
        </w:tc>
        <w:tc>
          <w:tcPr>
            <w:tcW w:w="1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0" w:type="dxa"/>
              <w:left w:w="0" w:type="dxa"/>
              <w:bottom w:w="0" w:type="dxa"/>
              <w:right w:w="0" w:type="dxa"/>
            </w:tcMar>
          </w:tcPr>
          <w:p w14:paraId="5CA9DF35" w14:textId="5EF475AC" w:rsidR="00EA2493" w:rsidRPr="00132473" w:rsidRDefault="00757384" w:rsidP="000A69A6">
            <w:pPr>
              <w:spacing w:line="276" w:lineRule="auto"/>
              <w:rPr>
                <w:rFonts w:ascii="Calibri" w:hAnsi="Calibri" w:cstheme="minorHAnsi"/>
                <w:sz w:val="20"/>
                <w:szCs w:val="20"/>
              </w:rPr>
            </w:pPr>
            <w:r>
              <w:rPr>
                <w:rFonts w:ascii="Calibri" w:hAnsi="Calibri"/>
                <w:sz w:val="20"/>
                <w:szCs w:val="20"/>
              </w:rPr>
              <w:t>Pro-Rector Education</w:t>
            </w:r>
          </w:p>
        </w:tc>
        <w:tc>
          <w:tcPr>
            <w:tcW w:w="1501" w:type="dxa"/>
            <w:tcBorders>
              <w:top w:val="single" w:sz="8" w:space="0" w:color="FFFFFF"/>
              <w:left w:val="single" w:sz="8" w:space="0" w:color="FFFFFF"/>
              <w:bottom w:val="single" w:sz="8" w:space="0" w:color="FFFFFF"/>
              <w:right w:val="single" w:sz="2" w:space="0" w:color="FFFFFF"/>
            </w:tcBorders>
            <w:shd w:val="clear" w:color="auto" w:fill="DBE5F1" w:themeFill="accent1" w:themeFillTint="33"/>
            <w:tcMar>
              <w:top w:w="0" w:type="dxa"/>
              <w:left w:w="0" w:type="dxa"/>
              <w:bottom w:w="0" w:type="dxa"/>
              <w:right w:w="0" w:type="dxa"/>
            </w:tcMar>
          </w:tcPr>
          <w:p w14:paraId="7BE4EB9D" w14:textId="5592F47D" w:rsidR="00EA2493" w:rsidRPr="00132473" w:rsidRDefault="00A4049A" w:rsidP="000A69A6">
            <w:pPr>
              <w:spacing w:line="276" w:lineRule="auto"/>
              <w:rPr>
                <w:rFonts w:ascii="Calibri" w:hAnsi="Calibri" w:cstheme="minorHAnsi"/>
                <w:sz w:val="20"/>
                <w:szCs w:val="20"/>
              </w:rPr>
            </w:pPr>
            <w:r>
              <w:rPr>
                <w:rFonts w:ascii="Calibri" w:hAnsi="Calibri"/>
                <w:sz w:val="20"/>
                <w:szCs w:val="20"/>
              </w:rPr>
              <w:t>31 Dec. 2019</w:t>
            </w:r>
          </w:p>
        </w:tc>
      </w:tr>
      <w:tr w:rsidR="00526DEF" w:rsidRPr="00132473" w14:paraId="0EB7E9A7" w14:textId="77777777" w:rsidTr="00D42FE5">
        <w:tblPrEx>
          <w:shd w:val="clear" w:color="auto" w:fill="CED7E7"/>
        </w:tblPrEx>
        <w:trPr>
          <w:trHeight w:val="1140"/>
        </w:trPr>
        <w:tc>
          <w:tcPr>
            <w:tcW w:w="2724" w:type="dxa"/>
            <w:tcBorders>
              <w:top w:val="single" w:sz="8" w:space="0" w:color="FFFFFF"/>
              <w:left w:val="single" w:sz="2"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0B30801D" w14:textId="2896E175" w:rsidR="00526DEF" w:rsidRPr="00132473" w:rsidRDefault="000D0637" w:rsidP="0024269B">
            <w:pPr>
              <w:pStyle w:val="Listeavsnitt"/>
              <w:numPr>
                <w:ilvl w:val="0"/>
                <w:numId w:val="43"/>
              </w:numPr>
              <w:rPr>
                <w:rFonts w:ascii="Calibri" w:hAnsi="Calibri" w:cstheme="minorHAnsi"/>
                <w:sz w:val="20"/>
                <w:szCs w:val="20"/>
              </w:rPr>
            </w:pPr>
            <w:r>
              <w:rPr>
                <w:rFonts w:ascii="Calibri" w:hAnsi="Calibri"/>
                <w:sz w:val="20"/>
                <w:szCs w:val="20"/>
              </w:rPr>
              <w:t xml:space="preserve">The reason for the low proportion of immigrants among researchers and academic staff and TA staff with higher education at </w:t>
            </w:r>
            <w:proofErr w:type="spellStart"/>
            <w:r>
              <w:rPr>
                <w:rFonts w:ascii="Calibri" w:hAnsi="Calibri"/>
                <w:sz w:val="20"/>
                <w:szCs w:val="20"/>
              </w:rPr>
              <w:t>HiOA</w:t>
            </w:r>
            <w:proofErr w:type="spellEnd"/>
            <w:r>
              <w:rPr>
                <w:rFonts w:ascii="Calibri" w:hAnsi="Calibri"/>
                <w:sz w:val="20"/>
                <w:szCs w:val="20"/>
              </w:rPr>
              <w:t xml:space="preserve"> shall be mapped with a view to developing measures to increase it </w:t>
            </w:r>
          </w:p>
        </w:tc>
        <w:tc>
          <w:tcPr>
            <w:tcW w:w="3544"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5EAFA170" w14:textId="31316CCE" w:rsidR="00526DEF" w:rsidRPr="00132473" w:rsidRDefault="000D175F" w:rsidP="000A69A6">
            <w:pPr>
              <w:spacing w:line="276" w:lineRule="auto"/>
              <w:rPr>
                <w:rFonts w:ascii="Calibri" w:hAnsi="Calibri" w:cstheme="minorHAnsi"/>
                <w:sz w:val="20"/>
                <w:szCs w:val="20"/>
              </w:rPr>
            </w:pPr>
            <w:r>
              <w:rPr>
                <w:rFonts w:ascii="Calibri" w:hAnsi="Calibri"/>
                <w:sz w:val="20"/>
                <w:szCs w:val="20"/>
              </w:rPr>
              <w:t xml:space="preserve">Internal funds shall be announced for a research project to culminate in concrete measures to promote ethnic diversity at </w:t>
            </w:r>
            <w:proofErr w:type="spellStart"/>
            <w:r>
              <w:rPr>
                <w:rFonts w:ascii="Calibri" w:hAnsi="Calibri"/>
                <w:sz w:val="20"/>
                <w:szCs w:val="20"/>
              </w:rPr>
              <w:t>HiOA</w:t>
            </w:r>
            <w:proofErr w:type="spellEnd"/>
            <w:r>
              <w:rPr>
                <w:rFonts w:ascii="Calibri" w:hAnsi="Calibri"/>
                <w:sz w:val="20"/>
                <w:szCs w:val="20"/>
              </w:rPr>
              <w:t>. Expert environments at all faculties and centres can apply. NIFU's diversity statistics are used as the basis for comparing the development with other universities and university colleges.</w:t>
            </w:r>
          </w:p>
        </w:tc>
        <w:tc>
          <w:tcPr>
            <w:tcW w:w="1559" w:type="dxa"/>
            <w:tcBorders>
              <w:top w:val="single" w:sz="8" w:space="0" w:color="FFFFFF"/>
              <w:left w:val="single" w:sz="8" w:space="0" w:color="FFFFFF"/>
              <w:bottom w:val="single" w:sz="8" w:space="0" w:color="FFFFFF"/>
              <w:right w:val="single" w:sz="8" w:space="0" w:color="FFFFFF"/>
            </w:tcBorders>
            <w:shd w:val="clear" w:color="auto" w:fill="B8CCE4" w:themeFill="accent1" w:themeFillTint="66"/>
            <w:tcMar>
              <w:top w:w="0" w:type="dxa"/>
              <w:left w:w="0" w:type="dxa"/>
              <w:bottom w:w="0" w:type="dxa"/>
              <w:right w:w="0" w:type="dxa"/>
            </w:tcMar>
          </w:tcPr>
          <w:p w14:paraId="12D13BC7" w14:textId="56459B61" w:rsidR="00526DEF" w:rsidRPr="00132473" w:rsidRDefault="000D175F" w:rsidP="000A69A6">
            <w:pPr>
              <w:spacing w:line="276" w:lineRule="auto"/>
              <w:rPr>
                <w:rFonts w:ascii="Calibri" w:hAnsi="Calibri" w:cstheme="minorHAnsi"/>
                <w:sz w:val="20"/>
                <w:szCs w:val="20"/>
              </w:rPr>
            </w:pPr>
            <w:r>
              <w:rPr>
                <w:rFonts w:ascii="Calibri" w:hAnsi="Calibri"/>
                <w:sz w:val="20"/>
                <w:szCs w:val="20"/>
              </w:rPr>
              <w:t>Pro-rector for R&amp;D</w:t>
            </w:r>
            <w:r w:rsidR="0076241A">
              <w:rPr>
                <w:rFonts w:ascii="Calibri" w:hAnsi="Calibri"/>
                <w:sz w:val="20"/>
                <w:szCs w:val="20"/>
              </w:rPr>
              <w:t xml:space="preserve"> </w:t>
            </w:r>
          </w:p>
        </w:tc>
        <w:tc>
          <w:tcPr>
            <w:tcW w:w="1501" w:type="dxa"/>
            <w:tcBorders>
              <w:top w:val="single" w:sz="8" w:space="0" w:color="FFFFFF"/>
              <w:left w:val="single" w:sz="8" w:space="0" w:color="FFFFFF"/>
              <w:bottom w:val="single" w:sz="8" w:space="0" w:color="FFFFFF"/>
              <w:right w:val="single" w:sz="2" w:space="0" w:color="FFFFFF"/>
            </w:tcBorders>
            <w:shd w:val="clear" w:color="auto" w:fill="B8CCE4" w:themeFill="accent1" w:themeFillTint="66"/>
            <w:tcMar>
              <w:top w:w="0" w:type="dxa"/>
              <w:left w:w="0" w:type="dxa"/>
              <w:bottom w:w="0" w:type="dxa"/>
              <w:right w:w="0" w:type="dxa"/>
            </w:tcMar>
          </w:tcPr>
          <w:p w14:paraId="7FEEFEF5" w14:textId="34B8E154" w:rsidR="00526DEF" w:rsidRPr="00132473" w:rsidRDefault="000D175F" w:rsidP="000A69A6">
            <w:pPr>
              <w:spacing w:line="276" w:lineRule="auto"/>
              <w:rPr>
                <w:rFonts w:ascii="Calibri" w:hAnsi="Calibri" w:cstheme="minorHAnsi"/>
                <w:sz w:val="20"/>
                <w:szCs w:val="20"/>
              </w:rPr>
            </w:pPr>
            <w:r>
              <w:rPr>
                <w:rFonts w:ascii="Calibri" w:hAnsi="Calibri"/>
                <w:sz w:val="20"/>
                <w:szCs w:val="20"/>
              </w:rPr>
              <w:t>1 Aug. 2018</w:t>
            </w:r>
          </w:p>
        </w:tc>
      </w:tr>
      <w:tr w:rsidR="001165F6" w:rsidRPr="00132473" w14:paraId="35304514" w14:textId="77777777" w:rsidTr="00D42FE5">
        <w:tblPrEx>
          <w:shd w:val="clear" w:color="auto" w:fill="CED7E7"/>
        </w:tblPrEx>
        <w:trPr>
          <w:trHeight w:val="1140"/>
        </w:trPr>
        <w:tc>
          <w:tcPr>
            <w:tcW w:w="2724" w:type="dxa"/>
            <w:tcBorders>
              <w:top w:val="single" w:sz="8" w:space="0" w:color="FFFFFF"/>
              <w:left w:val="single" w:sz="2" w:space="0" w:color="FFFFFF"/>
              <w:bottom w:val="single" w:sz="8" w:space="0" w:color="FFFFFF"/>
              <w:right w:val="single" w:sz="8" w:space="0" w:color="FFFFFF"/>
            </w:tcBorders>
            <w:shd w:val="clear" w:color="auto" w:fill="DBE5F1" w:themeFill="accent1" w:themeFillTint="33"/>
            <w:tcMar>
              <w:top w:w="0" w:type="dxa"/>
              <w:left w:w="0" w:type="dxa"/>
              <w:bottom w:w="0" w:type="dxa"/>
              <w:right w:w="0" w:type="dxa"/>
            </w:tcMar>
          </w:tcPr>
          <w:p w14:paraId="5AB030F8" w14:textId="1C249E22" w:rsidR="001165F6" w:rsidRPr="00132473" w:rsidRDefault="0055593B" w:rsidP="0024269B">
            <w:pPr>
              <w:pStyle w:val="Listeavsnitt"/>
              <w:numPr>
                <w:ilvl w:val="0"/>
                <w:numId w:val="43"/>
              </w:numPr>
              <w:rPr>
                <w:rFonts w:ascii="Calibri" w:hAnsi="Calibri" w:cstheme="minorHAnsi"/>
                <w:sz w:val="20"/>
                <w:szCs w:val="20"/>
              </w:rPr>
            </w:pPr>
            <w:r>
              <w:rPr>
                <w:rFonts w:ascii="Calibri" w:hAnsi="Calibri"/>
                <w:sz w:val="20"/>
                <w:szCs w:val="20"/>
              </w:rPr>
              <w:t xml:space="preserve">Through their studies, </w:t>
            </w:r>
            <w:proofErr w:type="spellStart"/>
            <w:r>
              <w:rPr>
                <w:rFonts w:ascii="Calibri" w:hAnsi="Calibri"/>
                <w:sz w:val="20"/>
                <w:szCs w:val="20"/>
              </w:rPr>
              <w:t>HiOA</w:t>
            </w:r>
            <w:proofErr w:type="spellEnd"/>
            <w:r>
              <w:rPr>
                <w:rFonts w:ascii="Calibri" w:hAnsi="Calibri"/>
                <w:sz w:val="20"/>
                <w:szCs w:val="20"/>
              </w:rPr>
              <w:t xml:space="preserve"> students shall develop critical, intersectional diversity competence of relevance to their respective subject areas and subsequent areas of work</w:t>
            </w:r>
            <w:r w:rsidR="0076241A">
              <w:rPr>
                <w:rFonts w:ascii="Calibri" w:hAnsi="Calibri"/>
                <w:sz w:val="20"/>
                <w:szCs w:val="20"/>
              </w:rPr>
              <w:t xml:space="preserve"> </w:t>
            </w:r>
          </w:p>
        </w:tc>
        <w:tc>
          <w:tcPr>
            <w:tcW w:w="3544"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0" w:type="dxa"/>
              <w:left w:w="0" w:type="dxa"/>
              <w:bottom w:w="0" w:type="dxa"/>
              <w:right w:w="0" w:type="dxa"/>
            </w:tcMar>
          </w:tcPr>
          <w:p w14:paraId="34537EF3" w14:textId="7B34F40A" w:rsidR="001165F6" w:rsidRPr="00132473" w:rsidRDefault="00BE09DC" w:rsidP="00270258">
            <w:pPr>
              <w:spacing w:line="276" w:lineRule="auto"/>
              <w:rPr>
                <w:rFonts w:ascii="Calibri" w:hAnsi="Calibri" w:cstheme="minorHAnsi"/>
                <w:sz w:val="20"/>
                <w:szCs w:val="20"/>
              </w:rPr>
            </w:pPr>
            <w:r>
              <w:rPr>
                <w:rFonts w:ascii="Calibri" w:hAnsi="Calibri"/>
                <w:sz w:val="20"/>
                <w:szCs w:val="20"/>
              </w:rPr>
              <w:t xml:space="preserve">The academic content of study programmes shall be reviewed to ensure this. Training in how to conduct ‘diversity reviews’ of study programmes is provided through the heads of department forum and/or the </w:t>
            </w:r>
            <w:proofErr w:type="spellStart"/>
            <w:r>
              <w:rPr>
                <w:rFonts w:ascii="Calibri" w:hAnsi="Calibri"/>
                <w:sz w:val="20"/>
                <w:szCs w:val="20"/>
              </w:rPr>
              <w:t>HiOA</w:t>
            </w:r>
            <w:proofErr w:type="spellEnd"/>
            <w:r>
              <w:rPr>
                <w:rFonts w:ascii="Calibri" w:hAnsi="Calibri"/>
                <w:sz w:val="20"/>
                <w:szCs w:val="20"/>
              </w:rPr>
              <w:t xml:space="preserve"> Academy. </w:t>
            </w:r>
          </w:p>
        </w:tc>
        <w:tc>
          <w:tcPr>
            <w:tcW w:w="155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tcMar>
              <w:top w:w="0" w:type="dxa"/>
              <w:left w:w="0" w:type="dxa"/>
              <w:bottom w:w="0" w:type="dxa"/>
              <w:right w:w="0" w:type="dxa"/>
            </w:tcMar>
          </w:tcPr>
          <w:p w14:paraId="0239F67D" w14:textId="7E436738" w:rsidR="001165F6" w:rsidRPr="00132473" w:rsidRDefault="00526DEF" w:rsidP="000A69A6">
            <w:pPr>
              <w:spacing w:line="276" w:lineRule="auto"/>
              <w:rPr>
                <w:rFonts w:ascii="Calibri" w:hAnsi="Calibri" w:cstheme="minorHAnsi"/>
                <w:sz w:val="20"/>
                <w:szCs w:val="20"/>
              </w:rPr>
            </w:pPr>
            <w:r>
              <w:rPr>
                <w:rFonts w:ascii="Calibri" w:hAnsi="Calibri"/>
                <w:sz w:val="20"/>
                <w:szCs w:val="20"/>
              </w:rPr>
              <w:t xml:space="preserve">Heads of department </w:t>
            </w:r>
          </w:p>
        </w:tc>
        <w:tc>
          <w:tcPr>
            <w:tcW w:w="1501" w:type="dxa"/>
            <w:tcBorders>
              <w:top w:val="single" w:sz="8" w:space="0" w:color="FFFFFF"/>
              <w:left w:val="single" w:sz="8" w:space="0" w:color="FFFFFF"/>
              <w:bottom w:val="single" w:sz="8" w:space="0" w:color="FFFFFF"/>
              <w:right w:val="single" w:sz="2" w:space="0" w:color="FFFFFF"/>
            </w:tcBorders>
            <w:shd w:val="clear" w:color="auto" w:fill="DBE5F1" w:themeFill="accent1" w:themeFillTint="33"/>
            <w:tcMar>
              <w:top w:w="0" w:type="dxa"/>
              <w:left w:w="0" w:type="dxa"/>
              <w:bottom w:w="0" w:type="dxa"/>
              <w:right w:w="0" w:type="dxa"/>
            </w:tcMar>
          </w:tcPr>
          <w:p w14:paraId="04B1D475" w14:textId="08E18F85" w:rsidR="001165F6" w:rsidRPr="00132473" w:rsidRDefault="00446F76" w:rsidP="000A69A6">
            <w:pPr>
              <w:spacing w:line="276" w:lineRule="auto"/>
              <w:rPr>
                <w:rFonts w:ascii="Calibri" w:hAnsi="Calibri" w:cstheme="minorHAnsi"/>
                <w:sz w:val="20"/>
                <w:szCs w:val="20"/>
              </w:rPr>
            </w:pPr>
            <w:r>
              <w:rPr>
                <w:rFonts w:ascii="Calibri" w:hAnsi="Calibri"/>
                <w:sz w:val="20"/>
                <w:szCs w:val="20"/>
              </w:rPr>
              <w:t>From 1 Jan. 2018</w:t>
            </w:r>
          </w:p>
        </w:tc>
      </w:tr>
    </w:tbl>
    <w:p w14:paraId="7CE90EA3" w14:textId="33FEF445" w:rsidR="00183449" w:rsidRPr="00132473" w:rsidRDefault="00183449" w:rsidP="000A69A6">
      <w:pPr>
        <w:spacing w:line="276" w:lineRule="auto"/>
        <w:rPr>
          <w:rFonts w:ascii="Calibri" w:hAnsi="Calibri" w:cstheme="minorHAnsi"/>
          <w:sz w:val="20"/>
          <w:szCs w:val="20"/>
        </w:rPr>
      </w:pPr>
    </w:p>
    <w:p w14:paraId="537B15C4" w14:textId="62137ECC" w:rsidR="00EA2493" w:rsidRPr="00132473" w:rsidRDefault="00183449" w:rsidP="00183449">
      <w:pPr>
        <w:rPr>
          <w:rFonts w:ascii="Calibri" w:hAnsi="Calibri" w:cstheme="minorHAnsi"/>
          <w:sz w:val="20"/>
          <w:szCs w:val="20"/>
        </w:rPr>
      </w:pPr>
      <w:r>
        <w:br w:type="page"/>
      </w:r>
    </w:p>
    <w:tbl>
      <w:tblPr>
        <w:tblW w:w="9328" w:type="dxa"/>
        <w:tblInd w:w="108" w:type="dxa"/>
        <w:tblBorders>
          <w:top w:val="single" w:sz="8" w:space="0" w:color="FFFFFF"/>
          <w:left w:val="single" w:sz="8" w:space="0" w:color="FFFFFF"/>
          <w:bottom w:val="single" w:sz="8" w:space="0" w:color="FFFFFF"/>
          <w:right w:val="single" w:sz="8" w:space="0" w:color="FFFFFF"/>
          <w:insideH w:val="single" w:sz="2" w:space="0" w:color="FFFFFF"/>
          <w:insideV w:val="single" w:sz="2" w:space="0" w:color="FFFFFF"/>
        </w:tblBorders>
        <w:shd w:val="clear" w:color="auto" w:fill="4F81BD"/>
        <w:tblLayout w:type="fixed"/>
        <w:tblLook w:val="04A0" w:firstRow="1" w:lastRow="0" w:firstColumn="1" w:lastColumn="0" w:noHBand="0" w:noVBand="1"/>
      </w:tblPr>
      <w:tblGrid>
        <w:gridCol w:w="2724"/>
        <w:gridCol w:w="3544"/>
        <w:gridCol w:w="1843"/>
        <w:gridCol w:w="1217"/>
      </w:tblGrid>
      <w:tr w:rsidR="006F02BB" w:rsidRPr="000E1920" w14:paraId="1797AFD4" w14:textId="77777777" w:rsidTr="003D277C">
        <w:trPr>
          <w:trHeight w:val="453"/>
          <w:tblHeader/>
        </w:trPr>
        <w:tc>
          <w:tcPr>
            <w:tcW w:w="9328" w:type="dxa"/>
            <w:gridSpan w:val="4"/>
            <w:tcBorders>
              <w:top w:val="single" w:sz="2" w:space="0" w:color="FFFFFF"/>
              <w:left w:val="single" w:sz="2" w:space="0" w:color="FFFFFF"/>
              <w:bottom w:val="single" w:sz="24" w:space="0" w:color="FFFFFF"/>
              <w:right w:val="single" w:sz="2" w:space="0" w:color="FFFFFF"/>
            </w:tcBorders>
            <w:shd w:val="clear" w:color="auto" w:fill="4F81BD"/>
            <w:tcMar>
              <w:top w:w="0" w:type="dxa"/>
              <w:left w:w="0" w:type="dxa"/>
              <w:bottom w:w="0" w:type="dxa"/>
              <w:right w:w="0" w:type="dxa"/>
            </w:tcMar>
          </w:tcPr>
          <w:p w14:paraId="153CE49C" w14:textId="77777777" w:rsidR="000523E5" w:rsidRPr="00580D0C" w:rsidRDefault="00A218B9" w:rsidP="002C084A">
            <w:pPr>
              <w:pStyle w:val="Listeavsnitt"/>
              <w:numPr>
                <w:ilvl w:val="0"/>
                <w:numId w:val="29"/>
              </w:numPr>
              <w:jc w:val="center"/>
              <w:rPr>
                <w:rFonts w:ascii="Calibri" w:hAnsi="Calibri" w:cstheme="minorHAnsi"/>
                <w:sz w:val="24"/>
                <w:szCs w:val="24"/>
              </w:rPr>
            </w:pPr>
            <w:r>
              <w:rPr>
                <w:rFonts w:ascii="Calibri" w:hAnsi="Calibri"/>
                <w:sz w:val="24"/>
                <w:szCs w:val="24"/>
              </w:rPr>
              <w:lastRenderedPageBreak/>
              <w:t>Recruitment and development</w:t>
            </w:r>
          </w:p>
          <w:p w14:paraId="13E371F6" w14:textId="7C9F97FF" w:rsidR="00CB25A5" w:rsidRPr="000E1920" w:rsidRDefault="00C1046B" w:rsidP="002C084A">
            <w:pPr>
              <w:pStyle w:val="Listeavsnitt"/>
              <w:ind w:left="0"/>
              <w:jc w:val="center"/>
              <w:rPr>
                <w:rFonts w:ascii="Calibri" w:hAnsi="Calibri"/>
                <w:iCs/>
                <w:color w:val="FFFFFF" w:themeColor="background1"/>
                <w:sz w:val="28"/>
                <w:szCs w:val="28"/>
              </w:rPr>
            </w:pPr>
            <w:r>
              <w:rPr>
                <w:rFonts w:ascii="Calibri" w:hAnsi="Calibri"/>
                <w:color w:val="FFFFFF" w:themeColor="background1"/>
                <w:sz w:val="24"/>
                <w:szCs w:val="24"/>
              </w:rPr>
              <w:t xml:space="preserve">Main goal: </w:t>
            </w:r>
            <w:proofErr w:type="spellStart"/>
            <w:r>
              <w:rPr>
                <w:rFonts w:ascii="Calibri" w:hAnsi="Calibri"/>
                <w:color w:val="FFFFFF" w:themeColor="background1"/>
                <w:sz w:val="24"/>
                <w:szCs w:val="24"/>
              </w:rPr>
              <w:t>HiOA’s</w:t>
            </w:r>
            <w:proofErr w:type="spellEnd"/>
            <w:r>
              <w:rPr>
                <w:rFonts w:ascii="Calibri" w:hAnsi="Calibri"/>
                <w:color w:val="FFFFFF" w:themeColor="background1"/>
                <w:sz w:val="24"/>
                <w:szCs w:val="24"/>
              </w:rPr>
              <w:t xml:space="preserve"> recruitment and career development processes shall be characterised by equal opportunities. Career and competence development measures shall contribute to raising the organisation's diversity competence.</w:t>
            </w:r>
          </w:p>
        </w:tc>
      </w:tr>
      <w:tr w:rsidR="00A218B9" w:rsidRPr="000E1920" w14:paraId="0D526F86" w14:textId="77777777" w:rsidTr="00D41FBB">
        <w:trPr>
          <w:trHeight w:val="453"/>
          <w:tblHeader/>
        </w:trPr>
        <w:tc>
          <w:tcPr>
            <w:tcW w:w="2724" w:type="dxa"/>
            <w:tcBorders>
              <w:top w:val="single" w:sz="2" w:space="0" w:color="FFFFFF"/>
              <w:left w:val="single" w:sz="2" w:space="0" w:color="FFFFFF"/>
              <w:bottom w:val="single" w:sz="24" w:space="0" w:color="FFFFFF"/>
              <w:right w:val="single" w:sz="8" w:space="0" w:color="FFFFFF"/>
            </w:tcBorders>
            <w:shd w:val="clear" w:color="auto" w:fill="4F81BD"/>
            <w:tcMar>
              <w:top w:w="0" w:type="dxa"/>
              <w:left w:w="0" w:type="dxa"/>
              <w:bottom w:w="0" w:type="dxa"/>
              <w:right w:w="0" w:type="dxa"/>
            </w:tcMar>
          </w:tcPr>
          <w:p w14:paraId="31411A1B" w14:textId="77777777" w:rsidR="00A218B9" w:rsidRPr="000E1920" w:rsidRDefault="00A218B9" w:rsidP="000A69A6">
            <w:pPr>
              <w:spacing w:line="276" w:lineRule="auto"/>
              <w:rPr>
                <w:rFonts w:ascii="Calibri" w:hAnsi="Calibri" w:cstheme="minorHAnsi"/>
              </w:rPr>
            </w:pPr>
            <w:r>
              <w:rPr>
                <w:rFonts w:ascii="Calibri" w:hAnsi="Calibri"/>
              </w:rPr>
              <w:t>Goals</w:t>
            </w:r>
          </w:p>
        </w:tc>
        <w:tc>
          <w:tcPr>
            <w:tcW w:w="3544" w:type="dxa"/>
            <w:tcBorders>
              <w:top w:val="single" w:sz="2"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tcPr>
          <w:p w14:paraId="2993393A" w14:textId="77777777" w:rsidR="00A218B9" w:rsidRPr="000E1920" w:rsidRDefault="00A218B9" w:rsidP="000A69A6">
            <w:pPr>
              <w:spacing w:line="276" w:lineRule="auto"/>
              <w:rPr>
                <w:rFonts w:ascii="Calibri" w:hAnsi="Calibri" w:cstheme="minorHAnsi"/>
              </w:rPr>
            </w:pPr>
            <w:r>
              <w:rPr>
                <w:rFonts w:ascii="Calibri" w:hAnsi="Calibri"/>
              </w:rPr>
              <w:t>Measures</w:t>
            </w:r>
          </w:p>
        </w:tc>
        <w:tc>
          <w:tcPr>
            <w:tcW w:w="1843" w:type="dxa"/>
            <w:tcBorders>
              <w:top w:val="single" w:sz="2"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tcPr>
          <w:p w14:paraId="1007417C" w14:textId="77777777" w:rsidR="00A218B9" w:rsidRPr="000E1920" w:rsidRDefault="00A218B9" w:rsidP="000A69A6">
            <w:pPr>
              <w:spacing w:line="276" w:lineRule="auto"/>
              <w:rPr>
                <w:rFonts w:ascii="Calibri" w:hAnsi="Calibri" w:cstheme="minorHAnsi"/>
              </w:rPr>
            </w:pPr>
            <w:r>
              <w:rPr>
                <w:rFonts w:ascii="Calibri" w:hAnsi="Calibri"/>
              </w:rPr>
              <w:t>Responsibility</w:t>
            </w:r>
          </w:p>
        </w:tc>
        <w:tc>
          <w:tcPr>
            <w:tcW w:w="1217" w:type="dxa"/>
            <w:tcBorders>
              <w:top w:val="single" w:sz="2" w:space="0" w:color="FFFFFF"/>
              <w:left w:val="single" w:sz="8" w:space="0" w:color="FFFFFF"/>
              <w:bottom w:val="single" w:sz="24" w:space="0" w:color="FFFFFF"/>
              <w:right w:val="single" w:sz="2" w:space="0" w:color="FFFFFF"/>
            </w:tcBorders>
            <w:shd w:val="clear" w:color="auto" w:fill="4F81BD"/>
            <w:tcMar>
              <w:top w:w="0" w:type="dxa"/>
              <w:left w:w="0" w:type="dxa"/>
              <w:bottom w:w="0" w:type="dxa"/>
              <w:right w:w="0" w:type="dxa"/>
            </w:tcMar>
          </w:tcPr>
          <w:p w14:paraId="0167FC9B" w14:textId="77777777" w:rsidR="00A218B9" w:rsidRPr="000E1920" w:rsidRDefault="00A218B9" w:rsidP="000A69A6">
            <w:pPr>
              <w:spacing w:line="276" w:lineRule="auto"/>
              <w:rPr>
                <w:rFonts w:ascii="Calibri" w:hAnsi="Calibri" w:cstheme="minorHAnsi"/>
              </w:rPr>
            </w:pPr>
            <w:r>
              <w:rPr>
                <w:rFonts w:ascii="Calibri" w:hAnsi="Calibri"/>
              </w:rPr>
              <w:t>Deadline</w:t>
            </w:r>
          </w:p>
        </w:tc>
      </w:tr>
      <w:tr w:rsidR="00A218B9" w:rsidRPr="002C084A" w14:paraId="542C0C30" w14:textId="77777777" w:rsidTr="00D41FBB">
        <w:tblPrEx>
          <w:shd w:val="clear" w:color="auto" w:fill="CED7E7"/>
        </w:tblPrEx>
        <w:trPr>
          <w:trHeight w:val="1696"/>
        </w:trPr>
        <w:tc>
          <w:tcPr>
            <w:tcW w:w="2724" w:type="dxa"/>
            <w:tcBorders>
              <w:top w:val="single" w:sz="8" w:space="0" w:color="FFFFFF"/>
              <w:left w:val="single" w:sz="2" w:space="0" w:color="FFFFFF"/>
              <w:bottom w:val="single" w:sz="8" w:space="0" w:color="FFFFFF"/>
              <w:right w:val="single" w:sz="8" w:space="0" w:color="FFFFFF"/>
            </w:tcBorders>
            <w:shd w:val="clear" w:color="auto" w:fill="E8ECF3"/>
            <w:tcMar>
              <w:top w:w="0" w:type="dxa"/>
              <w:left w:w="0" w:type="dxa"/>
              <w:bottom w:w="0" w:type="dxa"/>
              <w:right w:w="0" w:type="dxa"/>
            </w:tcMar>
          </w:tcPr>
          <w:p w14:paraId="2E8D1769" w14:textId="2E7F0AA9" w:rsidR="00A218B9" w:rsidRPr="002C084A" w:rsidRDefault="00A218B9" w:rsidP="0024269B">
            <w:pPr>
              <w:pStyle w:val="Listeavsnitt"/>
              <w:numPr>
                <w:ilvl w:val="0"/>
                <w:numId w:val="44"/>
              </w:numPr>
              <w:rPr>
                <w:rFonts w:ascii="Calibri" w:hAnsi="Calibri" w:cstheme="minorHAnsi"/>
                <w:sz w:val="20"/>
                <w:szCs w:val="20"/>
              </w:rPr>
            </w:pPr>
            <w:r>
              <w:rPr>
                <w:rFonts w:ascii="Calibri" w:hAnsi="Calibri"/>
                <w:sz w:val="20"/>
                <w:szCs w:val="20"/>
              </w:rPr>
              <w:t xml:space="preserve">The </w:t>
            </w:r>
            <w:proofErr w:type="spellStart"/>
            <w:r>
              <w:rPr>
                <w:rFonts w:ascii="Calibri" w:hAnsi="Calibri"/>
                <w:sz w:val="20"/>
                <w:szCs w:val="20"/>
              </w:rPr>
              <w:t>HiOA</w:t>
            </w:r>
            <w:proofErr w:type="spellEnd"/>
            <w:r>
              <w:rPr>
                <w:rFonts w:ascii="Calibri" w:hAnsi="Calibri"/>
                <w:sz w:val="20"/>
                <w:szCs w:val="20"/>
              </w:rPr>
              <w:t xml:space="preserve"> Academy shall further develop its strategic focus on diversity and offer all employees diversity competence based on requirements and needs </w:t>
            </w:r>
          </w:p>
        </w:tc>
        <w:tc>
          <w:tcPr>
            <w:tcW w:w="3544"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14:paraId="60B7744B" w14:textId="155DDA35" w:rsidR="006116C0" w:rsidRPr="002C084A" w:rsidRDefault="005D545E" w:rsidP="000A69A6">
            <w:pPr>
              <w:spacing w:line="276" w:lineRule="auto"/>
              <w:rPr>
                <w:rFonts w:ascii="Calibri" w:hAnsi="Calibri" w:cstheme="minorHAnsi"/>
                <w:sz w:val="20"/>
                <w:szCs w:val="20"/>
              </w:rPr>
            </w:pPr>
            <w:r>
              <w:rPr>
                <w:rFonts w:ascii="Calibri" w:hAnsi="Calibri"/>
                <w:sz w:val="20"/>
                <w:szCs w:val="20"/>
              </w:rPr>
              <w:t xml:space="preserve">The present diversity course portfolio shall be reviewed/expanded and reorganised based on different groups of employees’ knowledge and competence needs. It should be considered whether parts of the training should be made compulsory. </w:t>
            </w:r>
          </w:p>
        </w:tc>
        <w:tc>
          <w:tcPr>
            <w:tcW w:w="1843"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14:paraId="78F54AD1" w14:textId="154D80B5" w:rsidR="00A218B9" w:rsidRPr="002C084A" w:rsidRDefault="00E042A3" w:rsidP="000A69A6">
            <w:pPr>
              <w:spacing w:line="276" w:lineRule="auto"/>
              <w:rPr>
                <w:rFonts w:ascii="Calibri" w:hAnsi="Calibri" w:cstheme="minorHAnsi"/>
                <w:sz w:val="20"/>
                <w:szCs w:val="20"/>
              </w:rPr>
            </w:pPr>
            <w:r>
              <w:rPr>
                <w:rFonts w:ascii="Calibri" w:hAnsi="Calibri"/>
                <w:sz w:val="20"/>
                <w:szCs w:val="20"/>
              </w:rPr>
              <w:t xml:space="preserve">HR director/project manager for the </w:t>
            </w:r>
            <w:proofErr w:type="spellStart"/>
            <w:r>
              <w:rPr>
                <w:rFonts w:ascii="Calibri" w:hAnsi="Calibri"/>
                <w:sz w:val="20"/>
                <w:szCs w:val="20"/>
              </w:rPr>
              <w:t>HiOA</w:t>
            </w:r>
            <w:proofErr w:type="spellEnd"/>
            <w:r>
              <w:rPr>
                <w:rFonts w:ascii="Calibri" w:hAnsi="Calibri"/>
                <w:sz w:val="20"/>
                <w:szCs w:val="20"/>
              </w:rPr>
              <w:t xml:space="preserve"> Academy </w:t>
            </w:r>
          </w:p>
        </w:tc>
        <w:tc>
          <w:tcPr>
            <w:tcW w:w="1217" w:type="dxa"/>
            <w:tcBorders>
              <w:top w:val="single" w:sz="8" w:space="0" w:color="FFFFFF"/>
              <w:left w:val="single" w:sz="8" w:space="0" w:color="FFFFFF"/>
              <w:bottom w:val="single" w:sz="8" w:space="0" w:color="FFFFFF"/>
              <w:right w:val="single" w:sz="2" w:space="0" w:color="FFFFFF"/>
            </w:tcBorders>
            <w:shd w:val="clear" w:color="auto" w:fill="E8ECF3"/>
            <w:tcMar>
              <w:top w:w="0" w:type="dxa"/>
              <w:left w:w="0" w:type="dxa"/>
              <w:bottom w:w="0" w:type="dxa"/>
              <w:right w:w="0" w:type="dxa"/>
            </w:tcMar>
          </w:tcPr>
          <w:p w14:paraId="75443181" w14:textId="77777777" w:rsidR="00A218B9" w:rsidRPr="002C084A" w:rsidRDefault="00A218B9" w:rsidP="000A69A6">
            <w:pPr>
              <w:spacing w:line="276" w:lineRule="auto"/>
              <w:rPr>
                <w:rFonts w:ascii="Calibri" w:hAnsi="Calibri" w:cstheme="minorHAnsi"/>
                <w:sz w:val="20"/>
                <w:szCs w:val="20"/>
              </w:rPr>
            </w:pPr>
            <w:r>
              <w:rPr>
                <w:rFonts w:ascii="Calibri" w:hAnsi="Calibri"/>
                <w:sz w:val="20"/>
                <w:szCs w:val="20"/>
              </w:rPr>
              <w:t>Ongoing</w:t>
            </w:r>
          </w:p>
        </w:tc>
      </w:tr>
      <w:tr w:rsidR="00A218B9" w:rsidRPr="002C084A" w14:paraId="1DC9614E" w14:textId="77777777" w:rsidTr="00D41FBB">
        <w:tblPrEx>
          <w:shd w:val="clear" w:color="auto" w:fill="CED7E7"/>
        </w:tblPrEx>
        <w:trPr>
          <w:trHeight w:val="2501"/>
        </w:trPr>
        <w:tc>
          <w:tcPr>
            <w:tcW w:w="2724" w:type="dxa"/>
            <w:tcBorders>
              <w:top w:val="single" w:sz="8" w:space="0" w:color="FFFFFF"/>
              <w:left w:val="single" w:sz="2" w:space="0" w:color="FFFFFF"/>
              <w:bottom w:val="single" w:sz="8" w:space="0" w:color="FFFFFF"/>
              <w:right w:val="single" w:sz="8" w:space="0" w:color="FFFFFF"/>
            </w:tcBorders>
            <w:shd w:val="clear" w:color="auto" w:fill="CED7E7"/>
            <w:tcMar>
              <w:top w:w="0" w:type="dxa"/>
              <w:left w:w="0" w:type="dxa"/>
              <w:bottom w:w="0" w:type="dxa"/>
              <w:right w:w="0" w:type="dxa"/>
            </w:tcMar>
          </w:tcPr>
          <w:p w14:paraId="38DC5DB0" w14:textId="53E3C515" w:rsidR="00A218B9" w:rsidRPr="002C084A" w:rsidRDefault="009D4780" w:rsidP="0024269B">
            <w:pPr>
              <w:pStyle w:val="Listeavsnitt"/>
              <w:numPr>
                <w:ilvl w:val="0"/>
                <w:numId w:val="44"/>
              </w:numPr>
              <w:rPr>
                <w:rFonts w:ascii="Calibri" w:hAnsi="Calibri" w:cstheme="minorHAnsi"/>
                <w:sz w:val="20"/>
                <w:szCs w:val="20"/>
              </w:rPr>
            </w:pPr>
            <w:proofErr w:type="spellStart"/>
            <w:r>
              <w:rPr>
                <w:rFonts w:ascii="Calibri" w:hAnsi="Calibri"/>
                <w:sz w:val="20"/>
                <w:szCs w:val="20"/>
              </w:rPr>
              <w:t>HiOA</w:t>
            </w:r>
            <w:proofErr w:type="spellEnd"/>
            <w:r>
              <w:rPr>
                <w:rFonts w:ascii="Calibri" w:hAnsi="Calibri"/>
                <w:sz w:val="20"/>
                <w:szCs w:val="20"/>
              </w:rPr>
              <w:t xml:space="preserve"> shall encourage an increase in the proportion of immigrants in top academic positions. </w:t>
            </w:r>
          </w:p>
        </w:tc>
        <w:tc>
          <w:tcPr>
            <w:tcW w:w="3544"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14:paraId="7902F104" w14:textId="3603F86F" w:rsidR="00A218B9" w:rsidRPr="002C084A" w:rsidRDefault="009C1B69" w:rsidP="00291687">
            <w:pPr>
              <w:spacing w:line="276" w:lineRule="auto"/>
              <w:rPr>
                <w:rFonts w:ascii="Calibri" w:hAnsi="Calibri" w:cstheme="minorHAnsi"/>
                <w:sz w:val="20"/>
                <w:szCs w:val="20"/>
              </w:rPr>
            </w:pPr>
            <w:r>
              <w:rPr>
                <w:rFonts w:ascii="Calibri" w:hAnsi="Calibri"/>
                <w:sz w:val="20"/>
                <w:szCs w:val="20"/>
              </w:rPr>
              <w:t xml:space="preserve">Twenty-five per cent of participants in </w:t>
            </w:r>
            <w:proofErr w:type="spellStart"/>
            <w:r>
              <w:rPr>
                <w:rFonts w:ascii="Calibri" w:hAnsi="Calibri"/>
                <w:sz w:val="20"/>
                <w:szCs w:val="20"/>
              </w:rPr>
              <w:t>HiOA’s</w:t>
            </w:r>
            <w:proofErr w:type="spellEnd"/>
            <w:r>
              <w:rPr>
                <w:rFonts w:ascii="Calibri" w:hAnsi="Calibri"/>
                <w:sz w:val="20"/>
                <w:szCs w:val="20"/>
              </w:rPr>
              <w:t xml:space="preserve"> mentoring programme for candidates for promotion to top academic positions shall come from immigrant backgrounds.</w:t>
            </w:r>
            <w:r w:rsidR="00F72F42" w:rsidRPr="002C084A">
              <w:rPr>
                <w:rStyle w:val="Fotnotereferanse"/>
                <w:rFonts w:ascii="Calibri" w:hAnsi="Calibri" w:cstheme="minorHAnsi"/>
                <w:sz w:val="20"/>
                <w:szCs w:val="20"/>
              </w:rPr>
              <w:footnoteReference w:id="12"/>
            </w:r>
            <w:r>
              <w:rPr>
                <w:rFonts w:ascii="Calibri" w:hAnsi="Calibri"/>
                <w:sz w:val="20"/>
                <w:szCs w:val="20"/>
              </w:rPr>
              <w:t xml:space="preserve"> All TR positions must be advertised internationally with a requirement for Scandinavian language qualifications to be acquired within three years. </w:t>
            </w:r>
          </w:p>
        </w:tc>
        <w:tc>
          <w:tcPr>
            <w:tcW w:w="1843"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14:paraId="00E51C9F" w14:textId="1FFF10AE" w:rsidR="00A218B9" w:rsidRPr="002C084A" w:rsidRDefault="00182A18" w:rsidP="000A69A6">
            <w:pPr>
              <w:spacing w:line="276" w:lineRule="auto"/>
              <w:rPr>
                <w:rFonts w:ascii="Calibri" w:hAnsi="Calibri" w:cstheme="minorHAnsi"/>
                <w:sz w:val="20"/>
                <w:szCs w:val="20"/>
              </w:rPr>
            </w:pPr>
            <w:r>
              <w:rPr>
                <w:rFonts w:ascii="Calibri" w:hAnsi="Calibri"/>
                <w:sz w:val="20"/>
                <w:szCs w:val="20"/>
              </w:rPr>
              <w:t>Pro-rector for R&amp;D</w:t>
            </w:r>
          </w:p>
        </w:tc>
        <w:tc>
          <w:tcPr>
            <w:tcW w:w="1217" w:type="dxa"/>
            <w:tcBorders>
              <w:top w:val="single" w:sz="8" w:space="0" w:color="FFFFFF"/>
              <w:left w:val="single" w:sz="8" w:space="0" w:color="FFFFFF"/>
              <w:bottom w:val="single" w:sz="8" w:space="0" w:color="FFFFFF"/>
              <w:right w:val="single" w:sz="2" w:space="0" w:color="FFFFFF"/>
            </w:tcBorders>
            <w:shd w:val="clear" w:color="auto" w:fill="CED7E7"/>
            <w:tcMar>
              <w:top w:w="0" w:type="dxa"/>
              <w:left w:w="0" w:type="dxa"/>
              <w:bottom w:w="0" w:type="dxa"/>
              <w:right w:w="0" w:type="dxa"/>
            </w:tcMar>
          </w:tcPr>
          <w:p w14:paraId="70879E1B" w14:textId="7A959230" w:rsidR="00A218B9" w:rsidRPr="002C084A" w:rsidRDefault="00D41FBB" w:rsidP="000A69A6">
            <w:pPr>
              <w:spacing w:line="276" w:lineRule="auto"/>
              <w:rPr>
                <w:rFonts w:ascii="Calibri" w:hAnsi="Calibri" w:cstheme="minorHAnsi"/>
                <w:sz w:val="20"/>
                <w:szCs w:val="20"/>
              </w:rPr>
            </w:pPr>
            <w:r>
              <w:rPr>
                <w:rFonts w:ascii="Calibri" w:hAnsi="Calibri"/>
                <w:sz w:val="20"/>
                <w:szCs w:val="20"/>
              </w:rPr>
              <w:t>From 2018</w:t>
            </w:r>
          </w:p>
        </w:tc>
      </w:tr>
      <w:tr w:rsidR="00A218B9" w:rsidRPr="002C084A" w14:paraId="0D4BFC79" w14:textId="77777777" w:rsidTr="00D41FBB">
        <w:tblPrEx>
          <w:shd w:val="clear" w:color="auto" w:fill="CED7E7"/>
        </w:tblPrEx>
        <w:trPr>
          <w:trHeight w:val="1532"/>
        </w:trPr>
        <w:tc>
          <w:tcPr>
            <w:tcW w:w="2724" w:type="dxa"/>
            <w:tcBorders>
              <w:top w:val="single" w:sz="8" w:space="0" w:color="FFFFFF"/>
              <w:left w:val="single" w:sz="2" w:space="0" w:color="FFFFFF"/>
              <w:bottom w:val="single" w:sz="8" w:space="0" w:color="FFFFFF"/>
              <w:right w:val="single" w:sz="8" w:space="0" w:color="FFFFFF"/>
            </w:tcBorders>
            <w:shd w:val="clear" w:color="auto" w:fill="E8ECF3"/>
            <w:tcMar>
              <w:top w:w="0" w:type="dxa"/>
              <w:left w:w="0" w:type="dxa"/>
              <w:bottom w:w="0" w:type="dxa"/>
              <w:right w:w="0" w:type="dxa"/>
            </w:tcMar>
          </w:tcPr>
          <w:p w14:paraId="51A6B724" w14:textId="03C452BB" w:rsidR="00A218B9" w:rsidRPr="002C084A" w:rsidRDefault="00F72F42" w:rsidP="0024269B">
            <w:pPr>
              <w:pStyle w:val="Listeavsnitt"/>
              <w:numPr>
                <w:ilvl w:val="0"/>
                <w:numId w:val="44"/>
              </w:numPr>
              <w:rPr>
                <w:rFonts w:ascii="Calibri" w:hAnsi="Calibri" w:cstheme="minorHAnsi"/>
                <w:sz w:val="20"/>
                <w:szCs w:val="20"/>
              </w:rPr>
            </w:pPr>
            <w:proofErr w:type="spellStart"/>
            <w:r>
              <w:rPr>
                <w:rFonts w:ascii="Calibri" w:hAnsi="Calibri"/>
                <w:sz w:val="20"/>
                <w:szCs w:val="20"/>
              </w:rPr>
              <w:t>HiOA</w:t>
            </w:r>
            <w:proofErr w:type="spellEnd"/>
            <w:r>
              <w:rPr>
                <w:rFonts w:ascii="Calibri" w:hAnsi="Calibri"/>
                <w:sz w:val="20"/>
                <w:szCs w:val="20"/>
              </w:rPr>
              <w:t xml:space="preserve"> shall contribute to and make use of research-based diversity recruitment </w:t>
            </w:r>
          </w:p>
        </w:tc>
        <w:tc>
          <w:tcPr>
            <w:tcW w:w="3544"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14:paraId="03CCB6B3" w14:textId="206A9C02" w:rsidR="00A218B9" w:rsidRPr="002C084A" w:rsidRDefault="00E50249" w:rsidP="000A69A6">
            <w:pPr>
              <w:spacing w:line="276" w:lineRule="auto"/>
              <w:rPr>
                <w:rFonts w:ascii="Calibri" w:hAnsi="Calibri" w:cstheme="minorHAnsi"/>
                <w:sz w:val="20"/>
                <w:szCs w:val="20"/>
              </w:rPr>
            </w:pPr>
            <w:proofErr w:type="spellStart"/>
            <w:r>
              <w:rPr>
                <w:rFonts w:ascii="Calibri" w:hAnsi="Calibri"/>
                <w:sz w:val="20"/>
                <w:szCs w:val="20"/>
              </w:rPr>
              <w:t>HiOA</w:t>
            </w:r>
            <w:proofErr w:type="spellEnd"/>
            <w:r>
              <w:rPr>
                <w:rFonts w:ascii="Calibri" w:hAnsi="Calibri"/>
                <w:sz w:val="20"/>
                <w:szCs w:val="20"/>
              </w:rPr>
              <w:t xml:space="preserve"> as case institution in a Nordic study of recruitment practices in higher education funded by </w:t>
            </w:r>
            <w:proofErr w:type="spellStart"/>
            <w:r>
              <w:rPr>
                <w:rFonts w:ascii="Calibri" w:hAnsi="Calibri"/>
                <w:sz w:val="20"/>
                <w:szCs w:val="20"/>
              </w:rPr>
              <w:t>Nordforsk</w:t>
            </w:r>
            <w:proofErr w:type="spellEnd"/>
            <w:r>
              <w:rPr>
                <w:rFonts w:ascii="Calibri" w:hAnsi="Calibri"/>
                <w:sz w:val="20"/>
                <w:szCs w:val="20"/>
              </w:rPr>
              <w:t xml:space="preserve"> and led by the Institute for Social Research (ISF)</w:t>
            </w:r>
          </w:p>
        </w:tc>
        <w:tc>
          <w:tcPr>
            <w:tcW w:w="1843"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14:paraId="5F89A39A" w14:textId="77777777" w:rsidR="00A218B9" w:rsidRPr="002C084A" w:rsidRDefault="00A218B9" w:rsidP="000A69A6">
            <w:pPr>
              <w:spacing w:line="276" w:lineRule="auto"/>
              <w:rPr>
                <w:rFonts w:ascii="Calibri" w:hAnsi="Calibri" w:cstheme="minorHAnsi"/>
                <w:sz w:val="20"/>
                <w:szCs w:val="20"/>
              </w:rPr>
            </w:pPr>
            <w:r>
              <w:rPr>
                <w:rFonts w:ascii="Calibri" w:hAnsi="Calibri"/>
                <w:sz w:val="20"/>
                <w:szCs w:val="20"/>
              </w:rPr>
              <w:t xml:space="preserve">HR director/expanded recruitment team </w:t>
            </w:r>
          </w:p>
        </w:tc>
        <w:tc>
          <w:tcPr>
            <w:tcW w:w="1217" w:type="dxa"/>
            <w:tcBorders>
              <w:top w:val="single" w:sz="8" w:space="0" w:color="FFFFFF"/>
              <w:left w:val="single" w:sz="8" w:space="0" w:color="FFFFFF"/>
              <w:bottom w:val="single" w:sz="8" w:space="0" w:color="FFFFFF"/>
              <w:right w:val="single" w:sz="2" w:space="0" w:color="FFFFFF"/>
            </w:tcBorders>
            <w:shd w:val="clear" w:color="auto" w:fill="E8ECF3"/>
            <w:tcMar>
              <w:top w:w="0" w:type="dxa"/>
              <w:left w:w="0" w:type="dxa"/>
              <w:bottom w:w="0" w:type="dxa"/>
              <w:right w:w="0" w:type="dxa"/>
            </w:tcMar>
          </w:tcPr>
          <w:p w14:paraId="3E563C16" w14:textId="70AED456" w:rsidR="00A218B9" w:rsidRPr="002C084A" w:rsidRDefault="00F72F42" w:rsidP="000A69A6">
            <w:pPr>
              <w:spacing w:line="276" w:lineRule="auto"/>
              <w:rPr>
                <w:rFonts w:ascii="Calibri" w:hAnsi="Calibri" w:cstheme="minorHAnsi"/>
                <w:sz w:val="20"/>
                <w:szCs w:val="20"/>
              </w:rPr>
            </w:pPr>
            <w:r>
              <w:rPr>
                <w:rFonts w:ascii="Calibri" w:hAnsi="Calibri"/>
                <w:sz w:val="20"/>
                <w:szCs w:val="20"/>
              </w:rPr>
              <w:t>31 Dec. 2019</w:t>
            </w:r>
          </w:p>
        </w:tc>
      </w:tr>
      <w:tr w:rsidR="005C309F" w:rsidRPr="002C084A" w14:paraId="5DDE96E6" w14:textId="77777777" w:rsidTr="00D41FBB">
        <w:tblPrEx>
          <w:shd w:val="clear" w:color="auto" w:fill="CED7E7"/>
        </w:tblPrEx>
        <w:trPr>
          <w:trHeight w:val="2054"/>
        </w:trPr>
        <w:tc>
          <w:tcPr>
            <w:tcW w:w="2724" w:type="dxa"/>
            <w:tcBorders>
              <w:top w:val="single" w:sz="8" w:space="0" w:color="FFFFFF"/>
              <w:left w:val="single" w:sz="2" w:space="0" w:color="FFFFFF"/>
              <w:bottom w:val="single" w:sz="8" w:space="0" w:color="FFFFFF"/>
              <w:right w:val="single" w:sz="8" w:space="0" w:color="FFFFFF"/>
            </w:tcBorders>
            <w:shd w:val="clear" w:color="auto" w:fill="E8ECF3"/>
            <w:tcMar>
              <w:top w:w="0" w:type="dxa"/>
              <w:left w:w="0" w:type="dxa"/>
              <w:bottom w:w="0" w:type="dxa"/>
              <w:right w:w="0" w:type="dxa"/>
            </w:tcMar>
          </w:tcPr>
          <w:p w14:paraId="20A47E0E" w14:textId="6737EBD1" w:rsidR="005C309F" w:rsidRPr="002C084A" w:rsidRDefault="007B4DF1" w:rsidP="0024269B">
            <w:pPr>
              <w:pStyle w:val="Listeavsnitt"/>
              <w:numPr>
                <w:ilvl w:val="0"/>
                <w:numId w:val="44"/>
              </w:numPr>
              <w:rPr>
                <w:rFonts w:ascii="Calibri" w:hAnsi="Calibri" w:cstheme="minorHAnsi"/>
                <w:sz w:val="20"/>
                <w:szCs w:val="20"/>
              </w:rPr>
            </w:pPr>
            <w:proofErr w:type="spellStart"/>
            <w:r>
              <w:rPr>
                <w:rFonts w:ascii="Calibri" w:hAnsi="Calibri"/>
                <w:sz w:val="20"/>
                <w:szCs w:val="20"/>
              </w:rPr>
              <w:t>HiOA’s</w:t>
            </w:r>
            <w:proofErr w:type="spellEnd"/>
            <w:r>
              <w:rPr>
                <w:rFonts w:ascii="Calibri" w:hAnsi="Calibri"/>
                <w:sz w:val="20"/>
                <w:szCs w:val="20"/>
              </w:rPr>
              <w:t xml:space="preserve"> new managers shall bring experience and knowledge of the field of diversity and equality into the organisation to ensure that the organisation can ‘reap the benefits of diversity’ (Strategy 2020) </w:t>
            </w:r>
          </w:p>
        </w:tc>
        <w:tc>
          <w:tcPr>
            <w:tcW w:w="3544"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14:paraId="6184B57A" w14:textId="6C4F1F17" w:rsidR="005C309F" w:rsidRPr="002C084A" w:rsidRDefault="005C309F" w:rsidP="000A69A6">
            <w:pPr>
              <w:spacing w:line="276" w:lineRule="auto"/>
              <w:rPr>
                <w:rFonts w:ascii="Calibri" w:hAnsi="Calibri" w:cstheme="minorHAnsi"/>
                <w:sz w:val="20"/>
                <w:szCs w:val="20"/>
              </w:rPr>
            </w:pPr>
            <w:r>
              <w:rPr>
                <w:rFonts w:ascii="Calibri" w:hAnsi="Calibri"/>
                <w:sz w:val="20"/>
                <w:szCs w:val="20"/>
              </w:rPr>
              <w:t xml:space="preserve">Competence in and experience of diversity and equality work shall be emphasised in recruitment for managerial positions. The content of the term diversity competence must be defined. </w:t>
            </w:r>
          </w:p>
        </w:tc>
        <w:tc>
          <w:tcPr>
            <w:tcW w:w="1843"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14:paraId="3B32F3B8" w14:textId="700CE5CD" w:rsidR="005C309F" w:rsidRPr="002C084A" w:rsidRDefault="005C309F" w:rsidP="000A69A6">
            <w:pPr>
              <w:spacing w:line="276" w:lineRule="auto"/>
              <w:rPr>
                <w:rFonts w:ascii="Calibri" w:hAnsi="Calibri" w:cstheme="minorHAnsi"/>
                <w:sz w:val="20"/>
                <w:szCs w:val="20"/>
              </w:rPr>
            </w:pPr>
            <w:r>
              <w:rPr>
                <w:rFonts w:ascii="Calibri" w:hAnsi="Calibri"/>
                <w:sz w:val="20"/>
                <w:szCs w:val="20"/>
              </w:rPr>
              <w:t>Managers/recruiters/HR</w:t>
            </w:r>
          </w:p>
        </w:tc>
        <w:tc>
          <w:tcPr>
            <w:tcW w:w="1217" w:type="dxa"/>
            <w:tcBorders>
              <w:top w:val="single" w:sz="8" w:space="0" w:color="FFFFFF"/>
              <w:left w:val="single" w:sz="8" w:space="0" w:color="FFFFFF"/>
              <w:bottom w:val="single" w:sz="8" w:space="0" w:color="FFFFFF"/>
              <w:right w:val="single" w:sz="2" w:space="0" w:color="FFFFFF"/>
            </w:tcBorders>
            <w:shd w:val="clear" w:color="auto" w:fill="E8ECF3"/>
            <w:tcMar>
              <w:top w:w="0" w:type="dxa"/>
              <w:left w:w="0" w:type="dxa"/>
              <w:bottom w:w="0" w:type="dxa"/>
              <w:right w:w="0" w:type="dxa"/>
            </w:tcMar>
          </w:tcPr>
          <w:p w14:paraId="2CBCB0FD" w14:textId="2B6EF9D2" w:rsidR="005C309F" w:rsidRPr="002C084A" w:rsidRDefault="00023575" w:rsidP="000A69A6">
            <w:pPr>
              <w:spacing w:line="276" w:lineRule="auto"/>
              <w:rPr>
                <w:rFonts w:ascii="Calibri" w:hAnsi="Calibri" w:cstheme="minorHAnsi"/>
                <w:sz w:val="20"/>
                <w:szCs w:val="20"/>
              </w:rPr>
            </w:pPr>
            <w:r>
              <w:rPr>
                <w:rFonts w:ascii="Calibri" w:hAnsi="Calibri"/>
                <w:sz w:val="20"/>
                <w:szCs w:val="20"/>
              </w:rPr>
              <w:t>Formal practice from 1 Jan. 2018, then ongoing</w:t>
            </w:r>
          </w:p>
        </w:tc>
      </w:tr>
      <w:tr w:rsidR="00340C5D" w:rsidRPr="002C084A" w14:paraId="1D74BC99" w14:textId="77777777" w:rsidTr="00D41FBB">
        <w:tblPrEx>
          <w:shd w:val="clear" w:color="auto" w:fill="CED7E7"/>
        </w:tblPrEx>
        <w:trPr>
          <w:trHeight w:val="2045"/>
        </w:trPr>
        <w:tc>
          <w:tcPr>
            <w:tcW w:w="2724" w:type="dxa"/>
            <w:tcBorders>
              <w:top w:val="single" w:sz="8" w:space="0" w:color="FFFFFF"/>
              <w:left w:val="single" w:sz="2" w:space="0" w:color="FFFFFF"/>
              <w:bottom w:val="single" w:sz="8" w:space="0" w:color="FFFFFF"/>
              <w:right w:val="single" w:sz="8" w:space="0" w:color="FFFFFF"/>
            </w:tcBorders>
            <w:shd w:val="clear" w:color="auto" w:fill="E8ECF3"/>
            <w:tcMar>
              <w:top w:w="0" w:type="dxa"/>
              <w:left w:w="0" w:type="dxa"/>
              <w:bottom w:w="0" w:type="dxa"/>
              <w:right w:w="0" w:type="dxa"/>
            </w:tcMar>
          </w:tcPr>
          <w:p w14:paraId="487C8E24" w14:textId="284E10C1" w:rsidR="00340C5D" w:rsidRPr="002C084A" w:rsidRDefault="00340C5D" w:rsidP="0024269B">
            <w:pPr>
              <w:pStyle w:val="Listeavsnitt"/>
              <w:numPr>
                <w:ilvl w:val="0"/>
                <w:numId w:val="44"/>
              </w:numPr>
              <w:rPr>
                <w:rFonts w:ascii="Calibri" w:hAnsi="Calibri" w:cstheme="minorHAnsi"/>
                <w:sz w:val="20"/>
                <w:szCs w:val="20"/>
              </w:rPr>
            </w:pPr>
            <w:proofErr w:type="spellStart"/>
            <w:r>
              <w:rPr>
                <w:rFonts w:ascii="Calibri" w:hAnsi="Calibri"/>
                <w:sz w:val="20"/>
                <w:szCs w:val="20"/>
              </w:rPr>
              <w:t>HiOA</w:t>
            </w:r>
            <w:proofErr w:type="spellEnd"/>
            <w:r>
              <w:rPr>
                <w:rFonts w:ascii="Calibri" w:hAnsi="Calibri"/>
                <w:sz w:val="20"/>
                <w:szCs w:val="20"/>
              </w:rPr>
              <w:t xml:space="preserve"> shall have good gender balance in all job categories (as a rule, a maximum range of 60/40). </w:t>
            </w:r>
          </w:p>
        </w:tc>
        <w:tc>
          <w:tcPr>
            <w:tcW w:w="3544"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14:paraId="6D65E6D3" w14:textId="25829867" w:rsidR="00340C5D" w:rsidRPr="002C084A" w:rsidRDefault="0055593B" w:rsidP="000A69A6">
            <w:pPr>
              <w:spacing w:line="276" w:lineRule="auto"/>
              <w:rPr>
                <w:rFonts w:ascii="Calibri" w:hAnsi="Calibri" w:cstheme="minorHAnsi"/>
                <w:sz w:val="20"/>
                <w:szCs w:val="20"/>
              </w:rPr>
            </w:pPr>
            <w:proofErr w:type="spellStart"/>
            <w:r>
              <w:rPr>
                <w:rFonts w:ascii="Calibri" w:hAnsi="Calibri"/>
                <w:sz w:val="20"/>
                <w:szCs w:val="20"/>
              </w:rPr>
              <w:t>HiOA’s</w:t>
            </w:r>
            <w:proofErr w:type="spellEnd"/>
            <w:r>
              <w:rPr>
                <w:rFonts w:ascii="Calibri" w:hAnsi="Calibri"/>
                <w:sz w:val="20"/>
                <w:szCs w:val="20"/>
              </w:rPr>
              <w:t xml:space="preserve"> expanded recruitment team, managers, assessment and appointments committees are to be trained in recruitment for equality, and gender balance is established as a fixed checkpoint in the recruitment process. Training under the auspices of the </w:t>
            </w:r>
            <w:proofErr w:type="spellStart"/>
            <w:r>
              <w:rPr>
                <w:rFonts w:ascii="Calibri" w:hAnsi="Calibri"/>
                <w:sz w:val="20"/>
                <w:szCs w:val="20"/>
              </w:rPr>
              <w:t>HiOA</w:t>
            </w:r>
            <w:proofErr w:type="spellEnd"/>
            <w:r>
              <w:rPr>
                <w:rFonts w:ascii="Calibri" w:hAnsi="Calibri"/>
                <w:sz w:val="20"/>
                <w:szCs w:val="20"/>
              </w:rPr>
              <w:t xml:space="preserve"> Academy</w:t>
            </w:r>
            <w:r w:rsidR="0076241A">
              <w:rPr>
                <w:rFonts w:ascii="Calibri" w:hAnsi="Calibri"/>
                <w:sz w:val="20"/>
                <w:szCs w:val="20"/>
              </w:rPr>
              <w:t xml:space="preserve"> </w:t>
            </w:r>
          </w:p>
        </w:tc>
        <w:tc>
          <w:tcPr>
            <w:tcW w:w="1843"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14:paraId="79550E22" w14:textId="35E80358" w:rsidR="00340C5D" w:rsidRPr="002C084A" w:rsidRDefault="002A1F4F" w:rsidP="000A69A6">
            <w:pPr>
              <w:spacing w:line="276" w:lineRule="auto"/>
              <w:rPr>
                <w:rFonts w:ascii="Calibri" w:hAnsi="Calibri" w:cstheme="minorHAnsi"/>
                <w:sz w:val="20"/>
                <w:szCs w:val="20"/>
              </w:rPr>
            </w:pPr>
            <w:r>
              <w:rPr>
                <w:rFonts w:ascii="Calibri" w:hAnsi="Calibri"/>
                <w:sz w:val="20"/>
                <w:szCs w:val="20"/>
              </w:rPr>
              <w:t xml:space="preserve">Head of </w:t>
            </w:r>
            <w:proofErr w:type="spellStart"/>
            <w:r>
              <w:rPr>
                <w:rFonts w:ascii="Calibri" w:hAnsi="Calibri"/>
                <w:sz w:val="20"/>
                <w:szCs w:val="20"/>
              </w:rPr>
              <w:t>HiOA’s</w:t>
            </w:r>
            <w:proofErr w:type="spellEnd"/>
            <w:r>
              <w:rPr>
                <w:rFonts w:ascii="Calibri" w:hAnsi="Calibri"/>
                <w:sz w:val="20"/>
                <w:szCs w:val="20"/>
              </w:rPr>
              <w:t xml:space="preserve"> expanded recruitment team and programme director for leadership development </w:t>
            </w:r>
          </w:p>
        </w:tc>
        <w:tc>
          <w:tcPr>
            <w:tcW w:w="1217" w:type="dxa"/>
            <w:tcBorders>
              <w:top w:val="single" w:sz="8" w:space="0" w:color="FFFFFF"/>
              <w:left w:val="single" w:sz="8" w:space="0" w:color="FFFFFF"/>
              <w:bottom w:val="single" w:sz="8" w:space="0" w:color="FFFFFF"/>
              <w:right w:val="single" w:sz="2" w:space="0" w:color="FFFFFF"/>
            </w:tcBorders>
            <w:shd w:val="clear" w:color="auto" w:fill="E8ECF3"/>
            <w:tcMar>
              <w:top w:w="0" w:type="dxa"/>
              <w:left w:w="0" w:type="dxa"/>
              <w:bottom w:w="0" w:type="dxa"/>
              <w:right w:w="0" w:type="dxa"/>
            </w:tcMar>
          </w:tcPr>
          <w:p w14:paraId="4F0C1454" w14:textId="6F40AC69" w:rsidR="00340C5D" w:rsidRPr="002C084A" w:rsidRDefault="00AD76B0" w:rsidP="000A69A6">
            <w:pPr>
              <w:spacing w:line="276" w:lineRule="auto"/>
              <w:rPr>
                <w:rFonts w:ascii="Calibri" w:hAnsi="Calibri" w:cstheme="minorHAnsi"/>
                <w:sz w:val="20"/>
                <w:szCs w:val="20"/>
              </w:rPr>
            </w:pPr>
            <w:r>
              <w:rPr>
                <w:rFonts w:ascii="Calibri" w:hAnsi="Calibri"/>
                <w:sz w:val="20"/>
                <w:szCs w:val="20"/>
              </w:rPr>
              <w:t xml:space="preserve">Ongoing </w:t>
            </w:r>
          </w:p>
        </w:tc>
      </w:tr>
    </w:tbl>
    <w:p w14:paraId="678DF3D5" w14:textId="55BD5A6B" w:rsidR="005A55FC" w:rsidRPr="000E1920" w:rsidRDefault="005A55FC" w:rsidP="00DA738D">
      <w:pPr>
        <w:spacing w:line="276" w:lineRule="auto"/>
        <w:rPr>
          <w:rFonts w:ascii="Calibri" w:hAnsi="Calibri" w:cstheme="minorHAnsi"/>
          <w:sz w:val="20"/>
          <w:szCs w:val="20"/>
        </w:rPr>
      </w:pPr>
    </w:p>
    <w:sectPr w:rsidR="005A55FC" w:rsidRPr="000E1920" w:rsidSect="00816502">
      <w:pgSz w:w="11900" w:h="16840"/>
      <w:pgMar w:top="270" w:right="720" w:bottom="0" w:left="720" w:header="709" w:footer="709"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4FD6D3" w14:textId="77777777" w:rsidR="00F23716" w:rsidRDefault="00F23716" w:rsidP="00816502">
      <w:r>
        <w:separator/>
      </w:r>
    </w:p>
  </w:endnote>
  <w:endnote w:type="continuationSeparator" w:id="0">
    <w:p w14:paraId="1B67A78C" w14:textId="77777777" w:rsidR="00F23716" w:rsidRDefault="00F23716" w:rsidP="00816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E7CA1" w14:textId="77777777" w:rsidR="004C56F4" w:rsidRDefault="004C56F4" w:rsidP="00816502">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0755720"/>
      <w:docPartObj>
        <w:docPartGallery w:val="Page Numbers (Bottom of Page)"/>
        <w:docPartUnique/>
      </w:docPartObj>
    </w:sdtPr>
    <w:sdtEndPr/>
    <w:sdtContent>
      <w:p w14:paraId="2A4EB3DE" w14:textId="5E5CF793" w:rsidR="004C56F4" w:rsidRDefault="004C56F4" w:rsidP="00816502">
        <w:pPr>
          <w:pStyle w:val="Bunntekst"/>
          <w:jc w:val="center"/>
        </w:pPr>
        <w:r>
          <w:fldChar w:fldCharType="begin"/>
        </w:r>
        <w:r>
          <w:instrText>PAGE   \* MERGEFORMAT</w:instrText>
        </w:r>
        <w:r>
          <w:fldChar w:fldCharType="separate"/>
        </w:r>
        <w:r w:rsidR="00C566C1">
          <w:rPr>
            <w:noProof/>
          </w:rPr>
          <w:t>3</w:t>
        </w:r>
        <w:r>
          <w:fldChar w:fldCharType="end"/>
        </w:r>
      </w:p>
    </w:sdtContent>
  </w:sdt>
  <w:p w14:paraId="091D10E0" w14:textId="77777777" w:rsidR="004C56F4" w:rsidRDefault="004C56F4" w:rsidP="00816502">
    <w:pPr>
      <w:pStyle w:val="Bunn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B82B65" w14:textId="77777777" w:rsidR="004C56F4" w:rsidRDefault="004C56F4" w:rsidP="00816502">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B56CE2" w14:textId="77777777" w:rsidR="00F23716" w:rsidRDefault="00F23716" w:rsidP="00816502">
      <w:r>
        <w:separator/>
      </w:r>
    </w:p>
  </w:footnote>
  <w:footnote w:type="continuationSeparator" w:id="0">
    <w:p w14:paraId="5065A816" w14:textId="77777777" w:rsidR="00F23716" w:rsidRDefault="00F23716" w:rsidP="00816502">
      <w:r>
        <w:continuationSeparator/>
      </w:r>
    </w:p>
  </w:footnote>
  <w:footnote w:id="1">
    <w:p w14:paraId="14226EA2" w14:textId="6D024FF2" w:rsidR="004C56F4" w:rsidRPr="00EE704F" w:rsidRDefault="004C56F4" w:rsidP="00EE704F">
      <w:pPr>
        <w:pStyle w:val="Fotnotetekst"/>
      </w:pPr>
      <w:r>
        <w:rPr>
          <w:rStyle w:val="Fotnotereferanse"/>
        </w:rPr>
        <w:footnoteRef/>
      </w:r>
      <w:r>
        <w:t xml:space="preserve"> </w:t>
      </w:r>
      <w:proofErr w:type="gramStart"/>
      <w:r>
        <w:rPr>
          <w:rFonts w:ascii="Calibri" w:hAnsi="Calibri"/>
        </w:rPr>
        <w:t xml:space="preserve">New Knowledge, New Practice, Strategy 2020 for Oslo and </w:t>
      </w:r>
      <w:proofErr w:type="spellStart"/>
      <w:r>
        <w:rPr>
          <w:rFonts w:ascii="Calibri" w:hAnsi="Calibri"/>
        </w:rPr>
        <w:t>Akershus</w:t>
      </w:r>
      <w:proofErr w:type="spellEnd"/>
      <w:r>
        <w:rPr>
          <w:rFonts w:ascii="Calibri" w:hAnsi="Calibri"/>
        </w:rPr>
        <w:t xml:space="preserve"> University College of Applied Sciences.</w:t>
      </w:r>
      <w:proofErr w:type="gramEnd"/>
      <w:r>
        <w:rPr>
          <w:rFonts w:ascii="Calibri" w:hAnsi="Calibri"/>
        </w:rPr>
        <w:t xml:space="preserve"> A new strategy for the institution, </w:t>
      </w:r>
      <w:r>
        <w:rPr>
          <w:rFonts w:ascii="Calibri" w:hAnsi="Calibri"/>
          <w:i/>
        </w:rPr>
        <w:t>Strategy 2024</w:t>
      </w:r>
      <w:r>
        <w:rPr>
          <w:rFonts w:ascii="Calibri" w:hAnsi="Calibri"/>
        </w:rPr>
        <w:t>, is under development, and one of the measures proposed in this plan is to ensure continued support for diversity efforts in the new strategy.</w:t>
      </w:r>
      <w:r w:rsidR="0076241A">
        <w:rPr>
          <w:rFonts w:ascii="Calibri" w:hAnsi="Calibri"/>
        </w:rPr>
        <w:t xml:space="preserve"> </w:t>
      </w:r>
    </w:p>
  </w:footnote>
  <w:footnote w:id="2">
    <w:p w14:paraId="69F81298" w14:textId="7D2DF2AA" w:rsidR="004C56F4" w:rsidRPr="00FD2D13" w:rsidRDefault="004C56F4">
      <w:pPr>
        <w:pStyle w:val="Fotnotetekst"/>
        <w:rPr>
          <w:rFonts w:ascii="Calibri" w:hAnsi="Calibri"/>
        </w:rPr>
      </w:pPr>
      <w:r>
        <w:rPr>
          <w:rStyle w:val="Fotnotereferanse"/>
          <w:rFonts w:ascii="Calibri" w:hAnsi="Calibri"/>
        </w:rPr>
        <w:footnoteRef/>
      </w:r>
      <w:r>
        <w:rPr>
          <w:rFonts w:ascii="Calibri" w:hAnsi="Calibri"/>
        </w:rPr>
        <w:t xml:space="preserve"> This expansion of focus from gender to diversity corresponds to the 2014 expansion of the remit of the Committee for Gender Balance and Diversity in Research (</w:t>
      </w:r>
      <w:proofErr w:type="spellStart"/>
      <w:r>
        <w:rPr>
          <w:rFonts w:ascii="Calibri" w:hAnsi="Calibri"/>
        </w:rPr>
        <w:t>Kif</w:t>
      </w:r>
      <w:proofErr w:type="spellEnd"/>
      <w:r>
        <w:rPr>
          <w:rFonts w:ascii="Calibri" w:hAnsi="Calibri"/>
        </w:rPr>
        <w:t xml:space="preserve">), which the Ministry of Education and Research expanded to include ethnic diversity as well as gender. </w:t>
      </w:r>
    </w:p>
  </w:footnote>
  <w:footnote w:id="3">
    <w:p w14:paraId="37119FF3" w14:textId="2AFE74A8" w:rsidR="004C56F4" w:rsidRDefault="004C56F4">
      <w:pPr>
        <w:pStyle w:val="Fotnotetekst"/>
      </w:pPr>
      <w:r>
        <w:rPr>
          <w:rStyle w:val="Fotnotereferanse"/>
        </w:rPr>
        <w:footnoteRef/>
      </w:r>
      <w:r>
        <w:t xml:space="preserve"> </w:t>
      </w:r>
      <w:r>
        <w:rPr>
          <w:rFonts w:ascii="Calibri" w:hAnsi="Calibri"/>
        </w:rPr>
        <w:t xml:space="preserve">Public bodies have an obligation to make active, targeted and systematic efforts to promote equality and prevent discrimination on grounds of gender, ethnicity and functional impairment (the duty to actively promote equality). Moreover, </w:t>
      </w:r>
      <w:r>
        <w:rPr>
          <w:rStyle w:val="Sterk"/>
          <w:rFonts w:ascii="Calibri" w:hAnsi="Calibri"/>
          <w:b w:val="0"/>
        </w:rPr>
        <w:t xml:space="preserve">the Act relating to a prohibition against discrimination on the basis of sexual orientation, gender identity and gender expression came into force on 1 January 2014. </w:t>
      </w:r>
      <w:r>
        <w:rPr>
          <w:rFonts w:ascii="Calibri" w:hAnsi="Calibri"/>
        </w:rPr>
        <w:t xml:space="preserve">Public enterprises must also make active and targeted efforts to promote universal design. The reporting obligation is fulfilled through </w:t>
      </w:r>
      <w:proofErr w:type="spellStart"/>
      <w:r>
        <w:rPr>
          <w:rFonts w:ascii="Calibri" w:hAnsi="Calibri"/>
        </w:rPr>
        <w:t>HiOA’s</w:t>
      </w:r>
      <w:proofErr w:type="spellEnd"/>
      <w:r>
        <w:rPr>
          <w:rFonts w:ascii="Calibri" w:hAnsi="Calibri"/>
        </w:rPr>
        <w:t xml:space="preserve"> annual report. The duty to actively promote equality and the reporting obligations are based on the Gender Equality Act, the Anti-discrimination Act and the Anti-discrimination and Accessibility Act.</w:t>
      </w:r>
    </w:p>
  </w:footnote>
  <w:footnote w:id="4">
    <w:p w14:paraId="3CF02824" w14:textId="1C775ECE" w:rsidR="004C56F4" w:rsidRPr="004431A7" w:rsidRDefault="004C56F4" w:rsidP="00DE049B">
      <w:pPr>
        <w:pStyle w:val="Fotnotetekst"/>
        <w:rPr>
          <w:rFonts w:ascii="Calibri" w:hAnsi="Calibri"/>
        </w:rPr>
      </w:pPr>
      <w:r>
        <w:rPr>
          <w:rStyle w:val="Fotnotereferanse"/>
          <w:rFonts w:ascii="Calibri" w:hAnsi="Calibri"/>
        </w:rPr>
        <w:footnoteRef/>
      </w:r>
      <w:r>
        <w:rPr>
          <w:rFonts w:ascii="Calibri" w:hAnsi="Calibri"/>
        </w:rPr>
        <w:t xml:space="preserve"> Source: Database for Statistics on Higher Education (DBH).</w:t>
      </w:r>
    </w:p>
  </w:footnote>
  <w:footnote w:id="5">
    <w:p w14:paraId="661D9302" w14:textId="77777777" w:rsidR="004C56F4" w:rsidRPr="004431A7" w:rsidRDefault="004C56F4" w:rsidP="00DE049B">
      <w:pPr>
        <w:spacing w:line="276" w:lineRule="auto"/>
        <w:rPr>
          <w:rFonts w:ascii="Calibri" w:hAnsi="Calibri"/>
          <w:sz w:val="20"/>
          <w:szCs w:val="20"/>
        </w:rPr>
      </w:pPr>
      <w:r>
        <w:rPr>
          <w:rStyle w:val="Fotnotereferanse"/>
          <w:rFonts w:ascii="Calibri" w:hAnsi="Calibri"/>
          <w:sz w:val="20"/>
          <w:szCs w:val="20"/>
        </w:rPr>
        <w:footnoteRef/>
      </w:r>
      <w:r>
        <w:rPr>
          <w:rFonts w:ascii="Calibri" w:hAnsi="Calibri"/>
          <w:sz w:val="20"/>
          <w:szCs w:val="20"/>
        </w:rPr>
        <w:t xml:space="preserve"> There has been a marginal decrease in the proportion of women in top academic positions compared with 2015. The development is being monitored in order to distinguish development trends from minor natural fluctuations. </w:t>
      </w:r>
    </w:p>
    <w:p w14:paraId="642079B6" w14:textId="4B7AA971" w:rsidR="004C56F4" w:rsidRDefault="004C56F4">
      <w:pPr>
        <w:pStyle w:val="Fotnotetekst"/>
      </w:pPr>
    </w:p>
  </w:footnote>
  <w:footnote w:id="6">
    <w:p w14:paraId="5CD9CF31" w14:textId="77777777" w:rsidR="004C56F4" w:rsidRDefault="004C56F4" w:rsidP="0010168A">
      <w:pPr>
        <w:pStyle w:val="Fotnotetekst"/>
      </w:pPr>
      <w:r>
        <w:rPr>
          <w:rStyle w:val="Fotnotereferanse"/>
          <w:rFonts w:ascii="Calibri" w:hAnsi="Calibri"/>
        </w:rPr>
        <w:footnoteRef/>
      </w:r>
      <w:r>
        <w:rPr>
          <w:rFonts w:ascii="Calibri" w:hAnsi="Calibri"/>
        </w:rPr>
        <w:t xml:space="preserve"> The equal pay provision, cf. the Gender Equality Act Section 5.</w:t>
      </w:r>
    </w:p>
  </w:footnote>
  <w:footnote w:id="7">
    <w:p w14:paraId="7575642B" w14:textId="45D019DD" w:rsidR="004C56F4" w:rsidRPr="00FE2FAD" w:rsidRDefault="004C56F4">
      <w:pPr>
        <w:pStyle w:val="Fotnotetekst"/>
        <w:rPr>
          <w:rFonts w:ascii="Calibri" w:hAnsi="Calibri"/>
          <w:sz w:val="18"/>
          <w:szCs w:val="18"/>
        </w:rPr>
      </w:pPr>
      <w:r>
        <w:rPr>
          <w:rStyle w:val="Fotnotereferanse"/>
          <w:rFonts w:ascii="Calibri" w:hAnsi="Calibri"/>
          <w:sz w:val="18"/>
          <w:szCs w:val="18"/>
        </w:rPr>
        <w:footnoteRef/>
      </w:r>
      <w:r>
        <w:rPr>
          <w:rFonts w:ascii="Calibri" w:hAnsi="Calibri"/>
          <w:sz w:val="18"/>
          <w:szCs w:val="18"/>
        </w:rPr>
        <w:t xml:space="preserve"> The diversity statistics provide an overview of immigrants and descendants of immigrants among researchers and academic staff and technical and administrative staff with higher education in Norwegian research and higher education in the years 2007, 2010 and 2014.</w:t>
      </w:r>
    </w:p>
  </w:footnote>
  <w:footnote w:id="8">
    <w:p w14:paraId="29A9005E" w14:textId="58B1543B" w:rsidR="004C56F4" w:rsidRDefault="004C56F4">
      <w:pPr>
        <w:pStyle w:val="Fotnotetekst"/>
      </w:pPr>
      <w:r>
        <w:rPr>
          <w:rStyle w:val="Fotnotereferanse"/>
          <w:rFonts w:ascii="Calibri" w:hAnsi="Calibri"/>
          <w:sz w:val="18"/>
          <w:szCs w:val="18"/>
        </w:rPr>
        <w:footnoteRef/>
      </w:r>
      <w:r>
        <w:rPr>
          <w:rFonts w:ascii="Calibri" w:hAnsi="Calibri"/>
          <w:sz w:val="18"/>
          <w:szCs w:val="18"/>
        </w:rPr>
        <w:t xml:space="preserve"> The proportion of immigrants in the population as a whole was 16% in 2014.</w:t>
      </w:r>
      <w:r>
        <w:t xml:space="preserve"> </w:t>
      </w:r>
    </w:p>
  </w:footnote>
  <w:footnote w:id="9">
    <w:p w14:paraId="18EBC5E8" w14:textId="37025481" w:rsidR="004C56F4" w:rsidRDefault="004C56F4" w:rsidP="00E26122">
      <w:pPr>
        <w:pStyle w:val="Fotnotetekst"/>
      </w:pPr>
      <w:r>
        <w:rPr>
          <w:rStyle w:val="Fotnotereferanse"/>
          <w:rFonts w:ascii="Calibri" w:hAnsi="Calibri"/>
          <w:sz w:val="18"/>
          <w:szCs w:val="18"/>
        </w:rPr>
        <w:footnoteRef/>
      </w:r>
      <w:r>
        <w:rPr>
          <w:rFonts w:ascii="Calibri" w:hAnsi="Calibri"/>
          <w:sz w:val="18"/>
          <w:szCs w:val="18"/>
        </w:rPr>
        <w:t xml:space="preserve"> Statistics Norway's 2016 population projections show that the number of immigrants and Norwegian-born persons with immigrant parents will increase significantly over the next decades.</w:t>
      </w:r>
    </w:p>
  </w:footnote>
  <w:footnote w:id="10">
    <w:p w14:paraId="6100C08C" w14:textId="648B4FBF" w:rsidR="004C56F4" w:rsidRPr="0065059B" w:rsidRDefault="004C56F4">
      <w:pPr>
        <w:pStyle w:val="Fotnotetekst"/>
        <w:rPr>
          <w:rFonts w:ascii="Calibri" w:hAnsi="Calibri"/>
          <w:sz w:val="18"/>
          <w:szCs w:val="18"/>
        </w:rPr>
      </w:pPr>
      <w:r>
        <w:rPr>
          <w:rStyle w:val="Fotnotereferanse"/>
          <w:sz w:val="18"/>
          <w:szCs w:val="18"/>
        </w:rPr>
        <w:footnoteRef/>
      </w:r>
      <w:r>
        <w:rPr>
          <w:sz w:val="18"/>
          <w:szCs w:val="18"/>
        </w:rPr>
        <w:t xml:space="preserve"> </w:t>
      </w:r>
      <w:r>
        <w:rPr>
          <w:rFonts w:ascii="Calibri" w:hAnsi="Calibri"/>
          <w:sz w:val="18"/>
          <w:szCs w:val="18"/>
        </w:rPr>
        <w:t>Statistics Norway report 2016/33.</w:t>
      </w:r>
    </w:p>
  </w:footnote>
  <w:footnote w:id="11">
    <w:p w14:paraId="1C9609DC" w14:textId="77777777" w:rsidR="004C56F4" w:rsidRPr="0065059B" w:rsidRDefault="004C56F4" w:rsidP="00B56B42">
      <w:pPr>
        <w:spacing w:line="276" w:lineRule="auto"/>
        <w:rPr>
          <w:rFonts w:ascii="Calibri" w:hAnsi="Calibri"/>
          <w:sz w:val="18"/>
          <w:szCs w:val="18"/>
        </w:rPr>
      </w:pPr>
      <w:r>
        <w:rPr>
          <w:rStyle w:val="Fotnotereferanse"/>
          <w:rFonts w:ascii="Calibri" w:hAnsi="Calibri"/>
          <w:sz w:val="18"/>
          <w:szCs w:val="18"/>
        </w:rPr>
        <w:footnoteRef/>
      </w:r>
      <w:r>
        <w:rPr>
          <w:rFonts w:ascii="Calibri" w:hAnsi="Calibri"/>
          <w:sz w:val="18"/>
          <w:szCs w:val="18"/>
        </w:rPr>
        <w:t xml:space="preserve"> Planned measures implemented in 2016 include establishing voice announcement in the elevators in SG26, installing six new induction loop systems in classrooms and purchasing three mobile systems, and moving card readers in P48 to the right height and distance from the doors. Future plans include automatic door openers for some disabled toilets. </w:t>
      </w:r>
    </w:p>
    <w:p w14:paraId="430503E1" w14:textId="77777777" w:rsidR="004C56F4" w:rsidRDefault="004C56F4">
      <w:pPr>
        <w:pStyle w:val="Fotnotetekst"/>
      </w:pPr>
    </w:p>
  </w:footnote>
  <w:footnote w:id="12">
    <w:p w14:paraId="199B55EB" w14:textId="1A64D631" w:rsidR="004C56F4" w:rsidRDefault="004C56F4" w:rsidP="00F72F42">
      <w:pPr>
        <w:pStyle w:val="Fotnotetekst"/>
      </w:pPr>
      <w:r>
        <w:rPr>
          <w:rStyle w:val="Fotnotereferanse"/>
        </w:rPr>
        <w:footnoteRef/>
      </w:r>
      <w:r>
        <w:t xml:space="preserve"> </w:t>
      </w:r>
      <w:r>
        <w:rPr>
          <w:rFonts w:ascii="Calibri" w:hAnsi="Calibri"/>
        </w:rPr>
        <w:t xml:space="preserve">People from immigrant backgrounds includes </w:t>
      </w:r>
      <w:r>
        <w:rPr>
          <w:rFonts w:ascii="Calibri" w:hAnsi="Calibri"/>
          <w:i/>
        </w:rPr>
        <w:t>both</w:t>
      </w:r>
      <w:r>
        <w:rPr>
          <w:rFonts w:ascii="Calibri" w:hAnsi="Calibri"/>
        </w:rPr>
        <w:t xml:space="preserve"> 'immigrants', people with two foreign-born parents who have immigrated themselves, </w:t>
      </w:r>
      <w:r>
        <w:rPr>
          <w:rFonts w:ascii="Calibri" w:hAnsi="Calibri"/>
          <w:i/>
        </w:rPr>
        <w:t>and</w:t>
      </w:r>
      <w:r>
        <w:rPr>
          <w:rFonts w:ascii="Calibri" w:hAnsi="Calibri"/>
        </w:rPr>
        <w:t xml:space="preserve"> 'Norwegian-born persons to immigrant parents', i.e. people who were born and grew up in Norway who have two foreign-born parents.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824512" w14:textId="77777777" w:rsidR="004C56F4" w:rsidRDefault="004C56F4" w:rsidP="00816502">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50404D" w14:textId="249CC29B" w:rsidR="004C56F4" w:rsidRPr="000B262E" w:rsidRDefault="004C56F4" w:rsidP="00816502">
    <w:pPr>
      <w:pStyle w:val="Topptekst"/>
      <w:jc w:val="right"/>
      <w:rPr>
        <w:sz w:val="3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39EBF" w14:textId="44F74346" w:rsidR="004C56F4" w:rsidRDefault="004C56F4" w:rsidP="00816502">
    <w:pPr>
      <w:pStyle w:val="Topptekst"/>
    </w:pPr>
    <w:r>
      <w:rPr>
        <w:noProof/>
        <w:lang w:val="nb-NO"/>
      </w:rPr>
      <w:drawing>
        <wp:inline distT="0" distB="0" distL="0" distR="0" wp14:anchorId="5CDCAECB" wp14:editId="192A7DD6">
          <wp:extent cx="864000" cy="820800"/>
          <wp:effectExtent l="0" t="0" r="0" b="0"/>
          <wp:docPr id="7"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a:picLocks noChangeAspect="1"/>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Lst>
                  </a:blip>
                  <a:stretch>
                    <a:fillRect/>
                  </a:stretch>
                </pic:blipFill>
                <pic:spPr>
                  <a:xfrm>
                    <a:off x="0" y="0"/>
                    <a:ext cx="864000" cy="820800"/>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66E91"/>
    <w:multiLevelType w:val="hybridMultilevel"/>
    <w:tmpl w:val="C0FC0F44"/>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
    <w:nsid w:val="020A764E"/>
    <w:multiLevelType w:val="hybridMultilevel"/>
    <w:tmpl w:val="860C0708"/>
    <w:numStyleLink w:val="Punkttegn"/>
  </w:abstractNum>
  <w:abstractNum w:abstractNumId="2">
    <w:nsid w:val="07CA0019"/>
    <w:multiLevelType w:val="hybridMultilevel"/>
    <w:tmpl w:val="B7CED94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D7F6CE5"/>
    <w:multiLevelType w:val="hybridMultilevel"/>
    <w:tmpl w:val="97C62A84"/>
    <w:lvl w:ilvl="0" w:tplc="6BA61E5C">
      <w:start w:val="1"/>
      <w:numFmt w:val="bullet"/>
      <w:lvlText w:val="-"/>
      <w:lvlJc w:val="left"/>
      <w:pPr>
        <w:ind w:left="3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F9ACD0DE">
      <w:start w:val="1"/>
      <w:numFmt w:val="bullet"/>
      <w:lvlText w:val="o"/>
      <w:lvlJc w:val="left"/>
      <w:pPr>
        <w:ind w:left="10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E02AB22">
      <w:start w:val="1"/>
      <w:numFmt w:val="bullet"/>
      <w:lvlText w:val="▪"/>
      <w:lvlJc w:val="left"/>
      <w:pPr>
        <w:ind w:left="176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A40C2D4">
      <w:start w:val="1"/>
      <w:numFmt w:val="bullet"/>
      <w:lvlText w:val="•"/>
      <w:lvlJc w:val="left"/>
      <w:pPr>
        <w:ind w:left="24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8E4330A">
      <w:start w:val="1"/>
      <w:numFmt w:val="bullet"/>
      <w:lvlText w:val="o"/>
      <w:lvlJc w:val="left"/>
      <w:pPr>
        <w:ind w:left="320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1AA275A">
      <w:start w:val="1"/>
      <w:numFmt w:val="bullet"/>
      <w:lvlText w:val="▪"/>
      <w:lvlJc w:val="left"/>
      <w:pPr>
        <w:ind w:left="39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578417C">
      <w:start w:val="1"/>
      <w:numFmt w:val="bullet"/>
      <w:lvlText w:val="•"/>
      <w:lvlJc w:val="left"/>
      <w:pPr>
        <w:ind w:left="46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2B494EA">
      <w:start w:val="1"/>
      <w:numFmt w:val="bullet"/>
      <w:lvlText w:val="o"/>
      <w:lvlJc w:val="left"/>
      <w:pPr>
        <w:ind w:left="536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362A8D4">
      <w:start w:val="1"/>
      <w:numFmt w:val="bullet"/>
      <w:lvlText w:val="▪"/>
      <w:lvlJc w:val="left"/>
      <w:pPr>
        <w:ind w:left="60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21267792"/>
    <w:multiLevelType w:val="hybridMultilevel"/>
    <w:tmpl w:val="7B2475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nsid w:val="229D293B"/>
    <w:multiLevelType w:val="hybridMultilevel"/>
    <w:tmpl w:val="80862CFE"/>
    <w:lvl w:ilvl="0" w:tplc="AC92D4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32F09BB"/>
    <w:multiLevelType w:val="hybridMultilevel"/>
    <w:tmpl w:val="1B6C727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33A2286"/>
    <w:multiLevelType w:val="multilevel"/>
    <w:tmpl w:val="523C2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D137F7B"/>
    <w:multiLevelType w:val="hybridMultilevel"/>
    <w:tmpl w:val="CEB6B044"/>
    <w:lvl w:ilvl="0" w:tplc="AC0864A8">
      <w:start w:val="1"/>
      <w:numFmt w:val="bullet"/>
      <w:lvlText w:val="-"/>
      <w:lvlJc w:val="left"/>
      <w:pPr>
        <w:ind w:left="3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29427B4">
      <w:start w:val="1"/>
      <w:numFmt w:val="bullet"/>
      <w:lvlText w:val="o"/>
      <w:lvlJc w:val="left"/>
      <w:pPr>
        <w:ind w:left="10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3CA9066">
      <w:start w:val="1"/>
      <w:numFmt w:val="bullet"/>
      <w:lvlText w:val="▪"/>
      <w:lvlJc w:val="left"/>
      <w:pPr>
        <w:ind w:left="176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093E13AE">
      <w:start w:val="1"/>
      <w:numFmt w:val="bullet"/>
      <w:lvlText w:val="•"/>
      <w:lvlJc w:val="left"/>
      <w:pPr>
        <w:ind w:left="24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79B69AD4">
      <w:start w:val="1"/>
      <w:numFmt w:val="bullet"/>
      <w:lvlText w:val="o"/>
      <w:lvlJc w:val="left"/>
      <w:pPr>
        <w:ind w:left="320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600903C">
      <w:start w:val="1"/>
      <w:numFmt w:val="bullet"/>
      <w:lvlText w:val="▪"/>
      <w:lvlJc w:val="left"/>
      <w:pPr>
        <w:ind w:left="39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CBE49B0">
      <w:start w:val="1"/>
      <w:numFmt w:val="bullet"/>
      <w:lvlText w:val="•"/>
      <w:lvlJc w:val="left"/>
      <w:pPr>
        <w:ind w:left="46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18A7890">
      <w:start w:val="1"/>
      <w:numFmt w:val="bullet"/>
      <w:lvlText w:val="o"/>
      <w:lvlJc w:val="left"/>
      <w:pPr>
        <w:ind w:left="536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B3B6D968">
      <w:start w:val="1"/>
      <w:numFmt w:val="bullet"/>
      <w:lvlText w:val="▪"/>
      <w:lvlJc w:val="left"/>
      <w:pPr>
        <w:ind w:left="60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33527D31"/>
    <w:multiLevelType w:val="hybridMultilevel"/>
    <w:tmpl w:val="2AFEA6EA"/>
    <w:lvl w:ilvl="0" w:tplc="F7E82682">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956CC9C">
      <w:start w:val="1"/>
      <w:numFmt w:val="bullet"/>
      <w:lvlText w:val="o"/>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2666680A">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DFBA5C74">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850DE18">
      <w:start w:val="1"/>
      <w:numFmt w:val="bullet"/>
      <w:lvlText w:val="o"/>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700A5BC">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33C878A">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5D666D02">
      <w:start w:val="1"/>
      <w:numFmt w:val="bullet"/>
      <w:lvlText w:val="o"/>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404C1FC">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351E008D"/>
    <w:multiLevelType w:val="multilevel"/>
    <w:tmpl w:val="A8B48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6E3E56"/>
    <w:multiLevelType w:val="hybridMultilevel"/>
    <w:tmpl w:val="E492718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3A394A6C"/>
    <w:multiLevelType w:val="hybridMultilevel"/>
    <w:tmpl w:val="A9F47634"/>
    <w:lvl w:ilvl="0" w:tplc="9FB2E1D8">
      <w:start w:val="2"/>
      <w:numFmt w:val="bullet"/>
      <w:lvlText w:val="-"/>
      <w:lvlJc w:val="left"/>
      <w:pPr>
        <w:ind w:left="360" w:hanging="360"/>
      </w:pPr>
      <w:rPr>
        <w:rFonts w:ascii="Calibri" w:eastAsia="Arial Unicode MS" w:hAnsi="Calibri" w:cstheme="minorHAnsi"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nsid w:val="3B5900BF"/>
    <w:multiLevelType w:val="hybridMultilevel"/>
    <w:tmpl w:val="FEA24CDE"/>
    <w:lvl w:ilvl="0" w:tplc="AA5E61EC">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E6B516E"/>
    <w:multiLevelType w:val="hybridMultilevel"/>
    <w:tmpl w:val="4A006F9A"/>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3F4A3A08"/>
    <w:multiLevelType w:val="hybridMultilevel"/>
    <w:tmpl w:val="E61C4126"/>
    <w:lvl w:ilvl="0" w:tplc="DE12FB6E">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E2E9BFC">
      <w:start w:val="1"/>
      <w:numFmt w:val="bullet"/>
      <w:lvlText w:val="o"/>
      <w:lvlJc w:val="left"/>
      <w:pPr>
        <w:ind w:left="10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81F66054">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11DEE3E8">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D024903A">
      <w:start w:val="1"/>
      <w:numFmt w:val="bullet"/>
      <w:lvlText w:val="o"/>
      <w:lvlJc w:val="left"/>
      <w:pPr>
        <w:ind w:left="32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020599C">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F082AA8">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BC467266">
      <w:start w:val="1"/>
      <w:numFmt w:val="bullet"/>
      <w:lvlText w:val="o"/>
      <w:lvlJc w:val="left"/>
      <w:pPr>
        <w:ind w:left="54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497C942C">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nsid w:val="42806CDA"/>
    <w:multiLevelType w:val="hybridMultilevel"/>
    <w:tmpl w:val="7CFEA51E"/>
    <w:lvl w:ilvl="0" w:tplc="05E68D2A">
      <w:start w:val="1"/>
      <w:numFmt w:val="bullet"/>
      <w:lvlText w:val="-"/>
      <w:lvlJc w:val="left"/>
      <w:pPr>
        <w:ind w:left="3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0C5EAF84">
      <w:start w:val="1"/>
      <w:numFmt w:val="bullet"/>
      <w:lvlText w:val="o"/>
      <w:lvlJc w:val="left"/>
      <w:pPr>
        <w:ind w:left="10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D56E9B28">
      <w:start w:val="1"/>
      <w:numFmt w:val="bullet"/>
      <w:lvlText w:val="▪"/>
      <w:lvlJc w:val="left"/>
      <w:pPr>
        <w:ind w:left="176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4C0C328">
      <w:start w:val="1"/>
      <w:numFmt w:val="bullet"/>
      <w:lvlText w:val="•"/>
      <w:lvlJc w:val="left"/>
      <w:pPr>
        <w:ind w:left="24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48BA6308">
      <w:start w:val="1"/>
      <w:numFmt w:val="bullet"/>
      <w:lvlText w:val="o"/>
      <w:lvlJc w:val="left"/>
      <w:pPr>
        <w:ind w:left="320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ABE04BDC">
      <w:start w:val="1"/>
      <w:numFmt w:val="bullet"/>
      <w:lvlText w:val="▪"/>
      <w:lvlJc w:val="left"/>
      <w:pPr>
        <w:ind w:left="39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8EE6B58A">
      <w:start w:val="1"/>
      <w:numFmt w:val="bullet"/>
      <w:lvlText w:val="•"/>
      <w:lvlJc w:val="left"/>
      <w:pPr>
        <w:ind w:left="46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C527ABE">
      <w:start w:val="1"/>
      <w:numFmt w:val="bullet"/>
      <w:lvlText w:val="o"/>
      <w:lvlJc w:val="left"/>
      <w:pPr>
        <w:ind w:left="536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5D225290">
      <w:start w:val="1"/>
      <w:numFmt w:val="bullet"/>
      <w:lvlText w:val="▪"/>
      <w:lvlJc w:val="left"/>
      <w:pPr>
        <w:ind w:left="60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nsid w:val="433620F9"/>
    <w:multiLevelType w:val="hybridMultilevel"/>
    <w:tmpl w:val="1E0C0E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35F4376"/>
    <w:multiLevelType w:val="hybridMultilevel"/>
    <w:tmpl w:val="860C0708"/>
    <w:styleLink w:val="Punkttegn"/>
    <w:lvl w:ilvl="0" w:tplc="0736EFDC">
      <w:start w:val="1"/>
      <w:numFmt w:val="bullet"/>
      <w:lvlText w:val="•"/>
      <w:lvlJc w:val="left"/>
      <w:pPr>
        <w:ind w:left="1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1" w:tplc="7B700118">
      <w:start w:val="1"/>
      <w:numFmt w:val="bullet"/>
      <w:lvlText w:val="•"/>
      <w:lvlJc w:val="left"/>
      <w:pPr>
        <w:ind w:left="7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2" w:tplc="6E72940E">
      <w:start w:val="1"/>
      <w:numFmt w:val="bullet"/>
      <w:lvlText w:val="•"/>
      <w:lvlJc w:val="left"/>
      <w:pPr>
        <w:ind w:left="13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3" w:tplc="7A36FBBC">
      <w:start w:val="1"/>
      <w:numFmt w:val="bullet"/>
      <w:lvlText w:val="•"/>
      <w:lvlJc w:val="left"/>
      <w:pPr>
        <w:ind w:left="19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4" w:tplc="F864C8DC">
      <w:start w:val="1"/>
      <w:numFmt w:val="bullet"/>
      <w:lvlText w:val="•"/>
      <w:lvlJc w:val="left"/>
      <w:pPr>
        <w:ind w:left="25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5" w:tplc="33D4A63A">
      <w:start w:val="1"/>
      <w:numFmt w:val="bullet"/>
      <w:lvlText w:val="•"/>
      <w:lvlJc w:val="left"/>
      <w:pPr>
        <w:ind w:left="31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6" w:tplc="83C81F72">
      <w:start w:val="1"/>
      <w:numFmt w:val="bullet"/>
      <w:lvlText w:val="•"/>
      <w:lvlJc w:val="left"/>
      <w:pPr>
        <w:ind w:left="37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7" w:tplc="BEDE0500">
      <w:start w:val="1"/>
      <w:numFmt w:val="bullet"/>
      <w:lvlText w:val="•"/>
      <w:lvlJc w:val="left"/>
      <w:pPr>
        <w:ind w:left="4389" w:hanging="189"/>
      </w:pPr>
      <w:rPr>
        <w:rFonts w:hAnsi="Arial Unicode MS"/>
        <w:b/>
        <w:bCs/>
        <w:caps w:val="0"/>
        <w:smallCaps w:val="0"/>
        <w:strike w:val="0"/>
        <w:dstrike w:val="0"/>
        <w:outline w:val="0"/>
        <w:emboss w:val="0"/>
        <w:imprint w:val="0"/>
        <w:spacing w:val="0"/>
        <w:w w:val="100"/>
        <w:kern w:val="0"/>
        <w:position w:val="0"/>
        <w:highlight w:val="none"/>
        <w:vertAlign w:val="baseline"/>
      </w:rPr>
    </w:lvl>
    <w:lvl w:ilvl="8" w:tplc="16A8AD04">
      <w:start w:val="1"/>
      <w:numFmt w:val="bullet"/>
      <w:lvlText w:val="•"/>
      <w:lvlJc w:val="left"/>
      <w:pPr>
        <w:ind w:left="4989" w:hanging="189"/>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9">
    <w:nsid w:val="43C762CA"/>
    <w:multiLevelType w:val="hybridMultilevel"/>
    <w:tmpl w:val="4596E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44506435"/>
    <w:multiLevelType w:val="hybridMultilevel"/>
    <w:tmpl w:val="3F4CCF16"/>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1">
    <w:nsid w:val="4563180A"/>
    <w:multiLevelType w:val="hybridMultilevel"/>
    <w:tmpl w:val="D5D62E02"/>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2">
    <w:nsid w:val="4BDB5D29"/>
    <w:multiLevelType w:val="hybridMultilevel"/>
    <w:tmpl w:val="3EDCC7F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4D4F18CF"/>
    <w:multiLevelType w:val="hybridMultilevel"/>
    <w:tmpl w:val="D4A07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040716C"/>
    <w:multiLevelType w:val="hybridMultilevel"/>
    <w:tmpl w:val="0AA24430"/>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nsid w:val="508C5BF4"/>
    <w:multiLevelType w:val="hybridMultilevel"/>
    <w:tmpl w:val="79A649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nsid w:val="536B6627"/>
    <w:multiLevelType w:val="hybridMultilevel"/>
    <w:tmpl w:val="985A2B3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7">
    <w:nsid w:val="5AC76097"/>
    <w:multiLevelType w:val="hybridMultilevel"/>
    <w:tmpl w:val="281C1810"/>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8">
    <w:nsid w:val="5C4A476A"/>
    <w:multiLevelType w:val="hybridMultilevel"/>
    <w:tmpl w:val="A15E28D6"/>
    <w:lvl w:ilvl="0" w:tplc="DD4A1194">
      <w:start w:val="1"/>
      <w:numFmt w:val="decimal"/>
      <w:lvlText w:val="%1)"/>
      <w:lvlJc w:val="left"/>
      <w:pPr>
        <w:ind w:left="720" w:hanging="360"/>
      </w:pPr>
      <w:rPr>
        <w:rFonts w:cstheme="majorHAnsi"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5D3A39D2"/>
    <w:multiLevelType w:val="hybridMultilevel"/>
    <w:tmpl w:val="B0F06D3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0">
    <w:nsid w:val="5E6E61B6"/>
    <w:multiLevelType w:val="hybridMultilevel"/>
    <w:tmpl w:val="A7363B40"/>
    <w:numStyleLink w:val="Nummerert"/>
  </w:abstractNum>
  <w:abstractNum w:abstractNumId="31">
    <w:nsid w:val="604A30DB"/>
    <w:multiLevelType w:val="hybridMultilevel"/>
    <w:tmpl w:val="1720957C"/>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2">
    <w:nsid w:val="68531008"/>
    <w:multiLevelType w:val="hybridMultilevel"/>
    <w:tmpl w:val="6E58BE34"/>
    <w:lvl w:ilvl="0" w:tplc="1F3CADE4">
      <w:numFmt w:val="bullet"/>
      <w:lvlText w:val="-"/>
      <w:lvlJc w:val="left"/>
      <w:pPr>
        <w:ind w:left="825" w:hanging="360"/>
      </w:pPr>
      <w:rPr>
        <w:rFonts w:ascii="Calibri" w:eastAsia="Arial Unicode MS" w:hAnsi="Calibri" w:cstheme="minorHAnsi" w:hint="default"/>
      </w:rPr>
    </w:lvl>
    <w:lvl w:ilvl="1" w:tplc="04140003" w:tentative="1">
      <w:start w:val="1"/>
      <w:numFmt w:val="bullet"/>
      <w:lvlText w:val="o"/>
      <w:lvlJc w:val="left"/>
      <w:pPr>
        <w:ind w:left="1545" w:hanging="360"/>
      </w:pPr>
      <w:rPr>
        <w:rFonts w:ascii="Courier New" w:hAnsi="Courier New" w:cs="Courier New" w:hint="default"/>
      </w:rPr>
    </w:lvl>
    <w:lvl w:ilvl="2" w:tplc="04140005" w:tentative="1">
      <w:start w:val="1"/>
      <w:numFmt w:val="bullet"/>
      <w:lvlText w:val=""/>
      <w:lvlJc w:val="left"/>
      <w:pPr>
        <w:ind w:left="2265" w:hanging="360"/>
      </w:pPr>
      <w:rPr>
        <w:rFonts w:ascii="Wingdings" w:hAnsi="Wingdings" w:hint="default"/>
      </w:rPr>
    </w:lvl>
    <w:lvl w:ilvl="3" w:tplc="04140001" w:tentative="1">
      <w:start w:val="1"/>
      <w:numFmt w:val="bullet"/>
      <w:lvlText w:val=""/>
      <w:lvlJc w:val="left"/>
      <w:pPr>
        <w:ind w:left="2985" w:hanging="360"/>
      </w:pPr>
      <w:rPr>
        <w:rFonts w:ascii="Symbol" w:hAnsi="Symbol" w:hint="default"/>
      </w:rPr>
    </w:lvl>
    <w:lvl w:ilvl="4" w:tplc="04140003" w:tentative="1">
      <w:start w:val="1"/>
      <w:numFmt w:val="bullet"/>
      <w:lvlText w:val="o"/>
      <w:lvlJc w:val="left"/>
      <w:pPr>
        <w:ind w:left="3705" w:hanging="360"/>
      </w:pPr>
      <w:rPr>
        <w:rFonts w:ascii="Courier New" w:hAnsi="Courier New" w:cs="Courier New" w:hint="default"/>
      </w:rPr>
    </w:lvl>
    <w:lvl w:ilvl="5" w:tplc="04140005" w:tentative="1">
      <w:start w:val="1"/>
      <w:numFmt w:val="bullet"/>
      <w:lvlText w:val=""/>
      <w:lvlJc w:val="left"/>
      <w:pPr>
        <w:ind w:left="4425" w:hanging="360"/>
      </w:pPr>
      <w:rPr>
        <w:rFonts w:ascii="Wingdings" w:hAnsi="Wingdings" w:hint="default"/>
      </w:rPr>
    </w:lvl>
    <w:lvl w:ilvl="6" w:tplc="04140001" w:tentative="1">
      <w:start w:val="1"/>
      <w:numFmt w:val="bullet"/>
      <w:lvlText w:val=""/>
      <w:lvlJc w:val="left"/>
      <w:pPr>
        <w:ind w:left="5145" w:hanging="360"/>
      </w:pPr>
      <w:rPr>
        <w:rFonts w:ascii="Symbol" w:hAnsi="Symbol" w:hint="default"/>
      </w:rPr>
    </w:lvl>
    <w:lvl w:ilvl="7" w:tplc="04140003" w:tentative="1">
      <w:start w:val="1"/>
      <w:numFmt w:val="bullet"/>
      <w:lvlText w:val="o"/>
      <w:lvlJc w:val="left"/>
      <w:pPr>
        <w:ind w:left="5865" w:hanging="360"/>
      </w:pPr>
      <w:rPr>
        <w:rFonts w:ascii="Courier New" w:hAnsi="Courier New" w:cs="Courier New" w:hint="default"/>
      </w:rPr>
    </w:lvl>
    <w:lvl w:ilvl="8" w:tplc="04140005" w:tentative="1">
      <w:start w:val="1"/>
      <w:numFmt w:val="bullet"/>
      <w:lvlText w:val=""/>
      <w:lvlJc w:val="left"/>
      <w:pPr>
        <w:ind w:left="6585" w:hanging="360"/>
      </w:pPr>
      <w:rPr>
        <w:rFonts w:ascii="Wingdings" w:hAnsi="Wingdings" w:hint="default"/>
      </w:rPr>
    </w:lvl>
  </w:abstractNum>
  <w:abstractNum w:abstractNumId="33">
    <w:nsid w:val="693305FC"/>
    <w:multiLevelType w:val="hybridMultilevel"/>
    <w:tmpl w:val="951E278A"/>
    <w:lvl w:ilvl="0" w:tplc="04140001">
      <w:start w:val="1"/>
      <w:numFmt w:val="bullet"/>
      <w:lvlText w:val=""/>
      <w:lvlJc w:val="left"/>
      <w:pPr>
        <w:ind w:left="765" w:hanging="360"/>
      </w:pPr>
      <w:rPr>
        <w:rFonts w:ascii="Symbol" w:hAnsi="Symbol" w:hint="default"/>
      </w:rPr>
    </w:lvl>
    <w:lvl w:ilvl="1" w:tplc="04140003" w:tentative="1">
      <w:start w:val="1"/>
      <w:numFmt w:val="bullet"/>
      <w:lvlText w:val="o"/>
      <w:lvlJc w:val="left"/>
      <w:pPr>
        <w:ind w:left="1485" w:hanging="360"/>
      </w:pPr>
      <w:rPr>
        <w:rFonts w:ascii="Courier New" w:hAnsi="Courier New" w:cs="Courier New" w:hint="default"/>
      </w:rPr>
    </w:lvl>
    <w:lvl w:ilvl="2" w:tplc="04140005" w:tentative="1">
      <w:start w:val="1"/>
      <w:numFmt w:val="bullet"/>
      <w:lvlText w:val=""/>
      <w:lvlJc w:val="left"/>
      <w:pPr>
        <w:ind w:left="2205" w:hanging="360"/>
      </w:pPr>
      <w:rPr>
        <w:rFonts w:ascii="Wingdings" w:hAnsi="Wingdings" w:hint="default"/>
      </w:rPr>
    </w:lvl>
    <w:lvl w:ilvl="3" w:tplc="04140001" w:tentative="1">
      <w:start w:val="1"/>
      <w:numFmt w:val="bullet"/>
      <w:lvlText w:val=""/>
      <w:lvlJc w:val="left"/>
      <w:pPr>
        <w:ind w:left="2925" w:hanging="360"/>
      </w:pPr>
      <w:rPr>
        <w:rFonts w:ascii="Symbol" w:hAnsi="Symbol" w:hint="default"/>
      </w:rPr>
    </w:lvl>
    <w:lvl w:ilvl="4" w:tplc="04140003" w:tentative="1">
      <w:start w:val="1"/>
      <w:numFmt w:val="bullet"/>
      <w:lvlText w:val="o"/>
      <w:lvlJc w:val="left"/>
      <w:pPr>
        <w:ind w:left="3645" w:hanging="360"/>
      </w:pPr>
      <w:rPr>
        <w:rFonts w:ascii="Courier New" w:hAnsi="Courier New" w:cs="Courier New" w:hint="default"/>
      </w:rPr>
    </w:lvl>
    <w:lvl w:ilvl="5" w:tplc="04140005" w:tentative="1">
      <w:start w:val="1"/>
      <w:numFmt w:val="bullet"/>
      <w:lvlText w:val=""/>
      <w:lvlJc w:val="left"/>
      <w:pPr>
        <w:ind w:left="4365" w:hanging="360"/>
      </w:pPr>
      <w:rPr>
        <w:rFonts w:ascii="Wingdings" w:hAnsi="Wingdings" w:hint="default"/>
      </w:rPr>
    </w:lvl>
    <w:lvl w:ilvl="6" w:tplc="04140001" w:tentative="1">
      <w:start w:val="1"/>
      <w:numFmt w:val="bullet"/>
      <w:lvlText w:val=""/>
      <w:lvlJc w:val="left"/>
      <w:pPr>
        <w:ind w:left="5085" w:hanging="360"/>
      </w:pPr>
      <w:rPr>
        <w:rFonts w:ascii="Symbol" w:hAnsi="Symbol" w:hint="default"/>
      </w:rPr>
    </w:lvl>
    <w:lvl w:ilvl="7" w:tplc="04140003" w:tentative="1">
      <w:start w:val="1"/>
      <w:numFmt w:val="bullet"/>
      <w:lvlText w:val="o"/>
      <w:lvlJc w:val="left"/>
      <w:pPr>
        <w:ind w:left="5805" w:hanging="360"/>
      </w:pPr>
      <w:rPr>
        <w:rFonts w:ascii="Courier New" w:hAnsi="Courier New" w:cs="Courier New" w:hint="default"/>
      </w:rPr>
    </w:lvl>
    <w:lvl w:ilvl="8" w:tplc="04140005" w:tentative="1">
      <w:start w:val="1"/>
      <w:numFmt w:val="bullet"/>
      <w:lvlText w:val=""/>
      <w:lvlJc w:val="left"/>
      <w:pPr>
        <w:ind w:left="6525" w:hanging="360"/>
      </w:pPr>
      <w:rPr>
        <w:rFonts w:ascii="Wingdings" w:hAnsi="Wingdings" w:hint="default"/>
      </w:rPr>
    </w:lvl>
  </w:abstractNum>
  <w:abstractNum w:abstractNumId="34">
    <w:nsid w:val="69FB14B6"/>
    <w:multiLevelType w:val="hybridMultilevel"/>
    <w:tmpl w:val="A07662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C4610B7"/>
    <w:multiLevelType w:val="hybridMultilevel"/>
    <w:tmpl w:val="B1800CE8"/>
    <w:lvl w:ilvl="0" w:tplc="0414000F">
      <w:start w:val="1"/>
      <w:numFmt w:val="decimal"/>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6">
    <w:nsid w:val="6CEB3EA8"/>
    <w:multiLevelType w:val="hybridMultilevel"/>
    <w:tmpl w:val="EAEC0900"/>
    <w:lvl w:ilvl="0" w:tplc="C8D656CE">
      <w:start w:val="1"/>
      <w:numFmt w:val="bullet"/>
      <w:lvlText w:val="-"/>
      <w:lvlJc w:val="left"/>
      <w:pPr>
        <w:ind w:left="3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AAA4CE9E">
      <w:start w:val="1"/>
      <w:numFmt w:val="bullet"/>
      <w:lvlText w:val="o"/>
      <w:lvlJc w:val="left"/>
      <w:pPr>
        <w:ind w:left="10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FCE99CC">
      <w:start w:val="1"/>
      <w:numFmt w:val="bullet"/>
      <w:lvlText w:val="▪"/>
      <w:lvlJc w:val="left"/>
      <w:pPr>
        <w:ind w:left="176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BB0070DA">
      <w:start w:val="1"/>
      <w:numFmt w:val="bullet"/>
      <w:lvlText w:val="•"/>
      <w:lvlJc w:val="left"/>
      <w:pPr>
        <w:ind w:left="24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486ADDA">
      <w:start w:val="1"/>
      <w:numFmt w:val="bullet"/>
      <w:lvlText w:val="o"/>
      <w:lvlJc w:val="left"/>
      <w:pPr>
        <w:ind w:left="320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CC0DB90">
      <w:start w:val="1"/>
      <w:numFmt w:val="bullet"/>
      <w:lvlText w:val="▪"/>
      <w:lvlJc w:val="left"/>
      <w:pPr>
        <w:ind w:left="39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C5D8AC8A">
      <w:start w:val="1"/>
      <w:numFmt w:val="bullet"/>
      <w:lvlText w:val="•"/>
      <w:lvlJc w:val="left"/>
      <w:pPr>
        <w:ind w:left="46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C04C74A">
      <w:start w:val="1"/>
      <w:numFmt w:val="bullet"/>
      <w:lvlText w:val="o"/>
      <w:lvlJc w:val="left"/>
      <w:pPr>
        <w:ind w:left="536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FBB04F98">
      <w:start w:val="1"/>
      <w:numFmt w:val="bullet"/>
      <w:lvlText w:val="▪"/>
      <w:lvlJc w:val="left"/>
      <w:pPr>
        <w:ind w:left="60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nsid w:val="6FB94A16"/>
    <w:multiLevelType w:val="hybridMultilevel"/>
    <w:tmpl w:val="5C4E710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nsid w:val="706E6CA4"/>
    <w:multiLevelType w:val="hybridMultilevel"/>
    <w:tmpl w:val="60D66B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73BA753F"/>
    <w:multiLevelType w:val="hybridMultilevel"/>
    <w:tmpl w:val="62141158"/>
    <w:lvl w:ilvl="0" w:tplc="DE445124">
      <w:start w:val="1"/>
      <w:numFmt w:val="bullet"/>
      <w:lvlText w:val="-"/>
      <w:lvlJc w:val="left"/>
      <w:pPr>
        <w:ind w:left="3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4906A52">
      <w:start w:val="1"/>
      <w:numFmt w:val="bullet"/>
      <w:lvlText w:val="o"/>
      <w:lvlJc w:val="left"/>
      <w:pPr>
        <w:ind w:left="10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C5247D0">
      <w:start w:val="1"/>
      <w:numFmt w:val="bullet"/>
      <w:lvlText w:val="▪"/>
      <w:lvlJc w:val="left"/>
      <w:pPr>
        <w:ind w:left="176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4D2FDF8">
      <w:start w:val="1"/>
      <w:numFmt w:val="bullet"/>
      <w:lvlText w:val="•"/>
      <w:lvlJc w:val="left"/>
      <w:pPr>
        <w:ind w:left="24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31260C4">
      <w:start w:val="1"/>
      <w:numFmt w:val="bullet"/>
      <w:lvlText w:val="o"/>
      <w:lvlJc w:val="left"/>
      <w:pPr>
        <w:ind w:left="320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2840EC4">
      <w:start w:val="1"/>
      <w:numFmt w:val="bullet"/>
      <w:lvlText w:val="▪"/>
      <w:lvlJc w:val="left"/>
      <w:pPr>
        <w:ind w:left="392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E52437AE">
      <w:start w:val="1"/>
      <w:numFmt w:val="bullet"/>
      <w:lvlText w:val="•"/>
      <w:lvlJc w:val="left"/>
      <w:pPr>
        <w:ind w:left="464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30A4E56">
      <w:start w:val="1"/>
      <w:numFmt w:val="bullet"/>
      <w:lvlText w:val="o"/>
      <w:lvlJc w:val="left"/>
      <w:pPr>
        <w:ind w:left="536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09CF302">
      <w:start w:val="1"/>
      <w:numFmt w:val="bullet"/>
      <w:lvlText w:val="▪"/>
      <w:lvlJc w:val="left"/>
      <w:pPr>
        <w:ind w:left="6087" w:hanging="327"/>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nsid w:val="747D2D03"/>
    <w:multiLevelType w:val="hybridMultilevel"/>
    <w:tmpl w:val="84C062E0"/>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nsid w:val="769465F9"/>
    <w:multiLevelType w:val="hybridMultilevel"/>
    <w:tmpl w:val="A7363B40"/>
    <w:styleLink w:val="Nummerert"/>
    <w:lvl w:ilvl="0" w:tplc="5F0CA2B4">
      <w:start w:val="1"/>
      <w:numFmt w:val="decimal"/>
      <w:lvlText w:val="%1."/>
      <w:lvlJc w:val="left"/>
      <w:pPr>
        <w:ind w:left="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1" w:tplc="5ACA8E08">
      <w:start w:val="1"/>
      <w:numFmt w:val="decimal"/>
      <w:lvlText w:val="%2."/>
      <w:lvlJc w:val="left"/>
      <w:pPr>
        <w:ind w:left="1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2" w:tplc="374A9E06">
      <w:start w:val="1"/>
      <w:numFmt w:val="decimal"/>
      <w:lvlText w:val="%3."/>
      <w:lvlJc w:val="left"/>
      <w:pPr>
        <w:ind w:left="1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3" w:tplc="EA624854">
      <w:start w:val="1"/>
      <w:numFmt w:val="decimal"/>
      <w:lvlText w:val="%4."/>
      <w:lvlJc w:val="left"/>
      <w:pPr>
        <w:ind w:left="26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4" w:tplc="454A9C64">
      <w:start w:val="1"/>
      <w:numFmt w:val="decimal"/>
      <w:lvlText w:val="%5."/>
      <w:lvlJc w:val="left"/>
      <w:pPr>
        <w:ind w:left="34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5" w:tplc="57BC5DF0">
      <w:start w:val="1"/>
      <w:numFmt w:val="decimal"/>
      <w:lvlText w:val="%6."/>
      <w:lvlJc w:val="left"/>
      <w:pPr>
        <w:ind w:left="42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6" w:tplc="2910B842">
      <w:start w:val="1"/>
      <w:numFmt w:val="decimal"/>
      <w:lvlText w:val="%7."/>
      <w:lvlJc w:val="left"/>
      <w:pPr>
        <w:ind w:left="50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7" w:tplc="6EAE8ACC">
      <w:start w:val="1"/>
      <w:numFmt w:val="decimal"/>
      <w:lvlText w:val="%8."/>
      <w:lvlJc w:val="left"/>
      <w:pPr>
        <w:ind w:left="5853" w:hanging="253"/>
      </w:pPr>
      <w:rPr>
        <w:rFonts w:hAnsi="Arial Unicode MS"/>
        <w:b/>
        <w:bCs/>
        <w:caps w:val="0"/>
        <w:smallCaps w:val="0"/>
        <w:strike w:val="0"/>
        <w:dstrike w:val="0"/>
        <w:outline w:val="0"/>
        <w:emboss w:val="0"/>
        <w:imprint w:val="0"/>
        <w:spacing w:val="0"/>
        <w:w w:val="100"/>
        <w:kern w:val="0"/>
        <w:position w:val="0"/>
        <w:highlight w:val="none"/>
        <w:vertAlign w:val="baseline"/>
      </w:rPr>
    </w:lvl>
    <w:lvl w:ilvl="8" w:tplc="4B4AC48A">
      <w:start w:val="1"/>
      <w:numFmt w:val="decimal"/>
      <w:lvlText w:val="%9."/>
      <w:lvlJc w:val="left"/>
      <w:pPr>
        <w:ind w:left="6653" w:hanging="25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2">
    <w:nsid w:val="76E17972"/>
    <w:multiLevelType w:val="hybridMultilevel"/>
    <w:tmpl w:val="D126449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nsid w:val="7975527B"/>
    <w:multiLevelType w:val="hybridMultilevel"/>
    <w:tmpl w:val="7B948466"/>
    <w:lvl w:ilvl="0" w:tplc="1F3CADE4">
      <w:numFmt w:val="bullet"/>
      <w:lvlText w:val="-"/>
      <w:lvlJc w:val="left"/>
      <w:pPr>
        <w:ind w:left="720" w:hanging="360"/>
      </w:pPr>
      <w:rPr>
        <w:rFonts w:ascii="Calibri" w:eastAsia="Arial Unicode MS" w:hAnsi="Calibri" w:cstheme="minorHAns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4">
    <w:nsid w:val="7CED5131"/>
    <w:multiLevelType w:val="hybridMultilevel"/>
    <w:tmpl w:val="3BACBA14"/>
    <w:lvl w:ilvl="0" w:tplc="F8743776">
      <w:start w:val="1"/>
      <w:numFmt w:val="decimal"/>
      <w:lvlText w:val="%1)"/>
      <w:lvlJc w:val="left"/>
      <w:pPr>
        <w:ind w:left="720" w:hanging="360"/>
      </w:pPr>
      <w:rPr>
        <w:rFonts w:cstheme="majorHAnsi"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41"/>
  </w:num>
  <w:num w:numId="2">
    <w:abstractNumId w:val="18"/>
  </w:num>
  <w:num w:numId="3">
    <w:abstractNumId w:val="15"/>
  </w:num>
  <w:num w:numId="4">
    <w:abstractNumId w:val="36"/>
  </w:num>
  <w:num w:numId="5">
    <w:abstractNumId w:val="39"/>
  </w:num>
  <w:num w:numId="6">
    <w:abstractNumId w:val="8"/>
  </w:num>
  <w:num w:numId="7">
    <w:abstractNumId w:val="3"/>
  </w:num>
  <w:num w:numId="8">
    <w:abstractNumId w:val="9"/>
  </w:num>
  <w:num w:numId="9">
    <w:abstractNumId w:val="16"/>
  </w:num>
  <w:num w:numId="10">
    <w:abstractNumId w:val="40"/>
  </w:num>
  <w:num w:numId="11">
    <w:abstractNumId w:val="38"/>
  </w:num>
  <w:num w:numId="12">
    <w:abstractNumId w:val="2"/>
  </w:num>
  <w:num w:numId="13">
    <w:abstractNumId w:val="4"/>
  </w:num>
  <w:num w:numId="14">
    <w:abstractNumId w:val="14"/>
  </w:num>
  <w:num w:numId="15">
    <w:abstractNumId w:val="11"/>
  </w:num>
  <w:num w:numId="16">
    <w:abstractNumId w:val="33"/>
  </w:num>
  <w:num w:numId="17">
    <w:abstractNumId w:val="25"/>
  </w:num>
  <w:num w:numId="18">
    <w:abstractNumId w:val="37"/>
  </w:num>
  <w:num w:numId="19">
    <w:abstractNumId w:val="42"/>
  </w:num>
  <w:num w:numId="20">
    <w:abstractNumId w:val="5"/>
  </w:num>
  <w:num w:numId="21">
    <w:abstractNumId w:val="22"/>
  </w:num>
  <w:num w:numId="22">
    <w:abstractNumId w:val="17"/>
  </w:num>
  <w:num w:numId="23">
    <w:abstractNumId w:val="34"/>
  </w:num>
  <w:num w:numId="24">
    <w:abstractNumId w:val="13"/>
  </w:num>
  <w:num w:numId="25">
    <w:abstractNumId w:val="23"/>
  </w:num>
  <w:num w:numId="26">
    <w:abstractNumId w:val="19"/>
  </w:num>
  <w:num w:numId="27">
    <w:abstractNumId w:val="21"/>
  </w:num>
  <w:num w:numId="28">
    <w:abstractNumId w:val="20"/>
  </w:num>
  <w:num w:numId="29">
    <w:abstractNumId w:val="26"/>
  </w:num>
  <w:num w:numId="30">
    <w:abstractNumId w:val="12"/>
  </w:num>
  <w:num w:numId="31">
    <w:abstractNumId w:val="35"/>
  </w:num>
  <w:num w:numId="32">
    <w:abstractNumId w:val="6"/>
  </w:num>
  <w:num w:numId="33">
    <w:abstractNumId w:val="43"/>
  </w:num>
  <w:num w:numId="34">
    <w:abstractNumId w:val="32"/>
  </w:num>
  <w:num w:numId="35">
    <w:abstractNumId w:val="0"/>
  </w:num>
  <w:num w:numId="36">
    <w:abstractNumId w:val="10"/>
  </w:num>
  <w:num w:numId="37">
    <w:abstractNumId w:val="7"/>
  </w:num>
  <w:num w:numId="38">
    <w:abstractNumId w:val="28"/>
  </w:num>
  <w:num w:numId="39">
    <w:abstractNumId w:val="44"/>
  </w:num>
  <w:num w:numId="40">
    <w:abstractNumId w:val="1"/>
    <w:lvlOverride w:ilvl="0">
      <w:lvl w:ilvl="0" w:tplc="5D70E72A">
        <w:start w:val="1"/>
        <w:numFmt w:val="bullet"/>
        <w:lvlText w:val="•"/>
        <w:lvlJc w:val="left"/>
        <w:pPr>
          <w:ind w:left="174" w:hanging="17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4D2576E">
        <w:start w:val="1"/>
        <w:numFmt w:val="bullet"/>
        <w:lvlText w:val="•"/>
        <w:lvlJc w:val="left"/>
        <w:pPr>
          <w:ind w:left="805" w:hanging="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7FBCEBF8">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57CABC2">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F946548">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D62AB58E">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9CD2A062">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540242FE">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2382A1C">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1">
    <w:abstractNumId w:val="30"/>
  </w:num>
  <w:num w:numId="42">
    <w:abstractNumId w:val="29"/>
  </w:num>
  <w:num w:numId="43">
    <w:abstractNumId w:val="31"/>
  </w:num>
  <w:num w:numId="44">
    <w:abstractNumId w:val="27"/>
  </w:num>
  <w:num w:numId="45">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activeWritingStyle w:appName="MSWord" w:lang="en-GB" w:vendorID="64" w:dllVersion="131078" w:nlCheck="1" w:checkStyle="1"/>
  <w:proofState w:spelling="clean" w:grammar="clean"/>
  <w:defaultTabStop w:val="708"/>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BF4"/>
    <w:rsid w:val="00003927"/>
    <w:rsid w:val="00003EF0"/>
    <w:rsid w:val="000042AA"/>
    <w:rsid w:val="000064C8"/>
    <w:rsid w:val="00012A5E"/>
    <w:rsid w:val="000139BF"/>
    <w:rsid w:val="0001481E"/>
    <w:rsid w:val="0001632B"/>
    <w:rsid w:val="00021D35"/>
    <w:rsid w:val="00023575"/>
    <w:rsid w:val="00031BC3"/>
    <w:rsid w:val="000337DB"/>
    <w:rsid w:val="00036445"/>
    <w:rsid w:val="00037FB2"/>
    <w:rsid w:val="00042315"/>
    <w:rsid w:val="00044F06"/>
    <w:rsid w:val="00047A19"/>
    <w:rsid w:val="000523E5"/>
    <w:rsid w:val="00062C87"/>
    <w:rsid w:val="000773E6"/>
    <w:rsid w:val="000806F2"/>
    <w:rsid w:val="00080C40"/>
    <w:rsid w:val="00090C07"/>
    <w:rsid w:val="00091C16"/>
    <w:rsid w:val="00092C81"/>
    <w:rsid w:val="000A055B"/>
    <w:rsid w:val="000A2956"/>
    <w:rsid w:val="000A585B"/>
    <w:rsid w:val="000A69A6"/>
    <w:rsid w:val="000A6A1F"/>
    <w:rsid w:val="000B0FF1"/>
    <w:rsid w:val="000B1979"/>
    <w:rsid w:val="000B262E"/>
    <w:rsid w:val="000B653E"/>
    <w:rsid w:val="000B6908"/>
    <w:rsid w:val="000B6FEB"/>
    <w:rsid w:val="000C1A99"/>
    <w:rsid w:val="000C2118"/>
    <w:rsid w:val="000C2D64"/>
    <w:rsid w:val="000D0637"/>
    <w:rsid w:val="000D0F90"/>
    <w:rsid w:val="000D11D0"/>
    <w:rsid w:val="000D175F"/>
    <w:rsid w:val="000D32A0"/>
    <w:rsid w:val="000D629E"/>
    <w:rsid w:val="000E09A0"/>
    <w:rsid w:val="000E1920"/>
    <w:rsid w:val="000E201F"/>
    <w:rsid w:val="000E23C5"/>
    <w:rsid w:val="000E35E3"/>
    <w:rsid w:val="000F2BFF"/>
    <w:rsid w:val="000F3E80"/>
    <w:rsid w:val="000F47D3"/>
    <w:rsid w:val="000F7403"/>
    <w:rsid w:val="0010064D"/>
    <w:rsid w:val="0010168A"/>
    <w:rsid w:val="00106DE6"/>
    <w:rsid w:val="001121E3"/>
    <w:rsid w:val="0011468D"/>
    <w:rsid w:val="001165F6"/>
    <w:rsid w:val="00117098"/>
    <w:rsid w:val="00123766"/>
    <w:rsid w:val="00126401"/>
    <w:rsid w:val="00127192"/>
    <w:rsid w:val="00131D3C"/>
    <w:rsid w:val="00132473"/>
    <w:rsid w:val="001328CD"/>
    <w:rsid w:val="00132C1B"/>
    <w:rsid w:val="0013584C"/>
    <w:rsid w:val="0013744A"/>
    <w:rsid w:val="00141C40"/>
    <w:rsid w:val="001456BC"/>
    <w:rsid w:val="0014579F"/>
    <w:rsid w:val="00154836"/>
    <w:rsid w:val="00154BBC"/>
    <w:rsid w:val="00156DF6"/>
    <w:rsid w:val="00160B09"/>
    <w:rsid w:val="00162826"/>
    <w:rsid w:val="001647F5"/>
    <w:rsid w:val="00172091"/>
    <w:rsid w:val="0017217B"/>
    <w:rsid w:val="001761F4"/>
    <w:rsid w:val="0017645D"/>
    <w:rsid w:val="001800FB"/>
    <w:rsid w:val="00182A18"/>
    <w:rsid w:val="00183449"/>
    <w:rsid w:val="001919D3"/>
    <w:rsid w:val="00194653"/>
    <w:rsid w:val="0019473E"/>
    <w:rsid w:val="00195D11"/>
    <w:rsid w:val="00197E3A"/>
    <w:rsid w:val="001A41B3"/>
    <w:rsid w:val="001A6C59"/>
    <w:rsid w:val="001B1FD1"/>
    <w:rsid w:val="001B73F9"/>
    <w:rsid w:val="001B742E"/>
    <w:rsid w:val="001C21BD"/>
    <w:rsid w:val="001C3E4D"/>
    <w:rsid w:val="001C70AC"/>
    <w:rsid w:val="001D6A2D"/>
    <w:rsid w:val="001D71A4"/>
    <w:rsid w:val="001D7657"/>
    <w:rsid w:val="001E3286"/>
    <w:rsid w:val="001E7D1E"/>
    <w:rsid w:val="001F080D"/>
    <w:rsid w:val="00200E72"/>
    <w:rsid w:val="00203C7C"/>
    <w:rsid w:val="00204B66"/>
    <w:rsid w:val="002147CE"/>
    <w:rsid w:val="00214BB0"/>
    <w:rsid w:val="00221712"/>
    <w:rsid w:val="00225C2B"/>
    <w:rsid w:val="00226B7C"/>
    <w:rsid w:val="00232F46"/>
    <w:rsid w:val="002352B9"/>
    <w:rsid w:val="00236B9C"/>
    <w:rsid w:val="002409CB"/>
    <w:rsid w:val="0024269B"/>
    <w:rsid w:val="00245F5C"/>
    <w:rsid w:val="00246395"/>
    <w:rsid w:val="00250C3D"/>
    <w:rsid w:val="00251885"/>
    <w:rsid w:val="00254B3D"/>
    <w:rsid w:val="0026319E"/>
    <w:rsid w:val="002649F6"/>
    <w:rsid w:val="0026797F"/>
    <w:rsid w:val="00270258"/>
    <w:rsid w:val="0027182F"/>
    <w:rsid w:val="00277386"/>
    <w:rsid w:val="0028273A"/>
    <w:rsid w:val="002829AC"/>
    <w:rsid w:val="00291687"/>
    <w:rsid w:val="002A1F4F"/>
    <w:rsid w:val="002A7302"/>
    <w:rsid w:val="002A7A72"/>
    <w:rsid w:val="002B0009"/>
    <w:rsid w:val="002B0CBF"/>
    <w:rsid w:val="002B179D"/>
    <w:rsid w:val="002B1B9D"/>
    <w:rsid w:val="002B2FDC"/>
    <w:rsid w:val="002B5382"/>
    <w:rsid w:val="002B726B"/>
    <w:rsid w:val="002C084A"/>
    <w:rsid w:val="002C5CB4"/>
    <w:rsid w:val="002C6AF5"/>
    <w:rsid w:val="002D10DC"/>
    <w:rsid w:val="002D285A"/>
    <w:rsid w:val="002D453D"/>
    <w:rsid w:val="002E1397"/>
    <w:rsid w:val="002E1882"/>
    <w:rsid w:val="002E337E"/>
    <w:rsid w:val="002E6458"/>
    <w:rsid w:val="002F496E"/>
    <w:rsid w:val="00300BE1"/>
    <w:rsid w:val="00302397"/>
    <w:rsid w:val="00302638"/>
    <w:rsid w:val="00304CF4"/>
    <w:rsid w:val="003112E8"/>
    <w:rsid w:val="00315A1F"/>
    <w:rsid w:val="00320F61"/>
    <w:rsid w:val="00323342"/>
    <w:rsid w:val="00332435"/>
    <w:rsid w:val="00340C5D"/>
    <w:rsid w:val="003475EB"/>
    <w:rsid w:val="00350374"/>
    <w:rsid w:val="00351A6D"/>
    <w:rsid w:val="00354F4E"/>
    <w:rsid w:val="00363B13"/>
    <w:rsid w:val="003644B0"/>
    <w:rsid w:val="0036627E"/>
    <w:rsid w:val="00373415"/>
    <w:rsid w:val="00373CD7"/>
    <w:rsid w:val="00373E19"/>
    <w:rsid w:val="00377D42"/>
    <w:rsid w:val="00380880"/>
    <w:rsid w:val="00385DC4"/>
    <w:rsid w:val="00390B90"/>
    <w:rsid w:val="00391C06"/>
    <w:rsid w:val="0039216C"/>
    <w:rsid w:val="00397E67"/>
    <w:rsid w:val="00397F84"/>
    <w:rsid w:val="003A250A"/>
    <w:rsid w:val="003B1C62"/>
    <w:rsid w:val="003B26C2"/>
    <w:rsid w:val="003C0B76"/>
    <w:rsid w:val="003C2F26"/>
    <w:rsid w:val="003C5900"/>
    <w:rsid w:val="003C5F3A"/>
    <w:rsid w:val="003C6F18"/>
    <w:rsid w:val="003D07C9"/>
    <w:rsid w:val="003D277C"/>
    <w:rsid w:val="003D2E00"/>
    <w:rsid w:val="003D3B40"/>
    <w:rsid w:val="003D658B"/>
    <w:rsid w:val="003D7F89"/>
    <w:rsid w:val="003E329B"/>
    <w:rsid w:val="003E5121"/>
    <w:rsid w:val="003E61DD"/>
    <w:rsid w:val="003E7774"/>
    <w:rsid w:val="003F1B75"/>
    <w:rsid w:val="003F4B7F"/>
    <w:rsid w:val="003F5DD3"/>
    <w:rsid w:val="003F5EC6"/>
    <w:rsid w:val="003F6EFC"/>
    <w:rsid w:val="003F7BD8"/>
    <w:rsid w:val="00405831"/>
    <w:rsid w:val="00406003"/>
    <w:rsid w:val="004063E1"/>
    <w:rsid w:val="00413647"/>
    <w:rsid w:val="00415E1A"/>
    <w:rsid w:val="00421026"/>
    <w:rsid w:val="00424B4F"/>
    <w:rsid w:val="00426758"/>
    <w:rsid w:val="00426CF8"/>
    <w:rsid w:val="00431180"/>
    <w:rsid w:val="00431B78"/>
    <w:rsid w:val="00432E45"/>
    <w:rsid w:val="00441CD6"/>
    <w:rsid w:val="0044235C"/>
    <w:rsid w:val="004431A7"/>
    <w:rsid w:val="004445C0"/>
    <w:rsid w:val="00444D5C"/>
    <w:rsid w:val="00446F76"/>
    <w:rsid w:val="0045721B"/>
    <w:rsid w:val="0046484E"/>
    <w:rsid w:val="00464C6D"/>
    <w:rsid w:val="004729B8"/>
    <w:rsid w:val="00477541"/>
    <w:rsid w:val="004902DD"/>
    <w:rsid w:val="00490D08"/>
    <w:rsid w:val="004936DF"/>
    <w:rsid w:val="004A108E"/>
    <w:rsid w:val="004A220E"/>
    <w:rsid w:val="004A451C"/>
    <w:rsid w:val="004B519D"/>
    <w:rsid w:val="004C1173"/>
    <w:rsid w:val="004C2506"/>
    <w:rsid w:val="004C3A5F"/>
    <w:rsid w:val="004C56F4"/>
    <w:rsid w:val="004D264B"/>
    <w:rsid w:val="004D7E44"/>
    <w:rsid w:val="004E0203"/>
    <w:rsid w:val="004E20D6"/>
    <w:rsid w:val="004E2EC4"/>
    <w:rsid w:val="004F5ABA"/>
    <w:rsid w:val="00502971"/>
    <w:rsid w:val="00510293"/>
    <w:rsid w:val="00510ECE"/>
    <w:rsid w:val="00511E9B"/>
    <w:rsid w:val="005132F1"/>
    <w:rsid w:val="0051716C"/>
    <w:rsid w:val="00517CE8"/>
    <w:rsid w:val="00526DEF"/>
    <w:rsid w:val="0053139A"/>
    <w:rsid w:val="00535180"/>
    <w:rsid w:val="00535E99"/>
    <w:rsid w:val="00536FF1"/>
    <w:rsid w:val="00544EB5"/>
    <w:rsid w:val="005477B9"/>
    <w:rsid w:val="0055593B"/>
    <w:rsid w:val="00555C68"/>
    <w:rsid w:val="005570F3"/>
    <w:rsid w:val="005623D8"/>
    <w:rsid w:val="005670EF"/>
    <w:rsid w:val="00574D5A"/>
    <w:rsid w:val="00576F3F"/>
    <w:rsid w:val="00580D0C"/>
    <w:rsid w:val="00590375"/>
    <w:rsid w:val="00594095"/>
    <w:rsid w:val="005942E0"/>
    <w:rsid w:val="005A2A46"/>
    <w:rsid w:val="005A55FC"/>
    <w:rsid w:val="005B3BBB"/>
    <w:rsid w:val="005C309F"/>
    <w:rsid w:val="005D359B"/>
    <w:rsid w:val="005D486C"/>
    <w:rsid w:val="005D545E"/>
    <w:rsid w:val="005D5C3C"/>
    <w:rsid w:val="005E1690"/>
    <w:rsid w:val="005E1A35"/>
    <w:rsid w:val="005E6092"/>
    <w:rsid w:val="005E7774"/>
    <w:rsid w:val="005F2333"/>
    <w:rsid w:val="005F3B58"/>
    <w:rsid w:val="005F747F"/>
    <w:rsid w:val="0060136B"/>
    <w:rsid w:val="00606AEA"/>
    <w:rsid w:val="006114CC"/>
    <w:rsid w:val="006116C0"/>
    <w:rsid w:val="00612FCF"/>
    <w:rsid w:val="00617CF3"/>
    <w:rsid w:val="00621379"/>
    <w:rsid w:val="006373A6"/>
    <w:rsid w:val="0064470F"/>
    <w:rsid w:val="006501C5"/>
    <w:rsid w:val="0065059B"/>
    <w:rsid w:val="0065641B"/>
    <w:rsid w:val="00664C97"/>
    <w:rsid w:val="006717B7"/>
    <w:rsid w:val="006719F5"/>
    <w:rsid w:val="0067518B"/>
    <w:rsid w:val="00684DD8"/>
    <w:rsid w:val="006860F7"/>
    <w:rsid w:val="0068703D"/>
    <w:rsid w:val="0069056E"/>
    <w:rsid w:val="006916D3"/>
    <w:rsid w:val="006920CF"/>
    <w:rsid w:val="006943C5"/>
    <w:rsid w:val="00696048"/>
    <w:rsid w:val="006A0621"/>
    <w:rsid w:val="006A317C"/>
    <w:rsid w:val="006A5F10"/>
    <w:rsid w:val="006A6BA0"/>
    <w:rsid w:val="006B1601"/>
    <w:rsid w:val="006B1A4E"/>
    <w:rsid w:val="006B3B77"/>
    <w:rsid w:val="006B5535"/>
    <w:rsid w:val="006C54D5"/>
    <w:rsid w:val="006C5E74"/>
    <w:rsid w:val="006D0EB6"/>
    <w:rsid w:val="006D1296"/>
    <w:rsid w:val="006D144D"/>
    <w:rsid w:val="006D3FFF"/>
    <w:rsid w:val="006D6D2C"/>
    <w:rsid w:val="006E0B73"/>
    <w:rsid w:val="006E25CA"/>
    <w:rsid w:val="006E529E"/>
    <w:rsid w:val="006F02BB"/>
    <w:rsid w:val="006F6098"/>
    <w:rsid w:val="0070301C"/>
    <w:rsid w:val="0070423A"/>
    <w:rsid w:val="00706205"/>
    <w:rsid w:val="00706277"/>
    <w:rsid w:val="00707872"/>
    <w:rsid w:val="00712FC5"/>
    <w:rsid w:val="0071422D"/>
    <w:rsid w:val="00714484"/>
    <w:rsid w:val="007146A7"/>
    <w:rsid w:val="007166AF"/>
    <w:rsid w:val="00730664"/>
    <w:rsid w:val="007307A1"/>
    <w:rsid w:val="00730860"/>
    <w:rsid w:val="00736916"/>
    <w:rsid w:val="00737D40"/>
    <w:rsid w:val="00743DEE"/>
    <w:rsid w:val="0074519D"/>
    <w:rsid w:val="00751E82"/>
    <w:rsid w:val="00753945"/>
    <w:rsid w:val="00753965"/>
    <w:rsid w:val="00754326"/>
    <w:rsid w:val="00757384"/>
    <w:rsid w:val="007579F4"/>
    <w:rsid w:val="00760187"/>
    <w:rsid w:val="00761866"/>
    <w:rsid w:val="00761BA7"/>
    <w:rsid w:val="0076241A"/>
    <w:rsid w:val="00767E0B"/>
    <w:rsid w:val="0078325E"/>
    <w:rsid w:val="00792980"/>
    <w:rsid w:val="00793561"/>
    <w:rsid w:val="00796129"/>
    <w:rsid w:val="0079695B"/>
    <w:rsid w:val="007B350F"/>
    <w:rsid w:val="007B4DF1"/>
    <w:rsid w:val="007B76AB"/>
    <w:rsid w:val="007C3772"/>
    <w:rsid w:val="007D437A"/>
    <w:rsid w:val="007D43F5"/>
    <w:rsid w:val="007D56DD"/>
    <w:rsid w:val="007D60C6"/>
    <w:rsid w:val="007E0959"/>
    <w:rsid w:val="007E0A40"/>
    <w:rsid w:val="007E7C4D"/>
    <w:rsid w:val="007F0502"/>
    <w:rsid w:val="007F2B5D"/>
    <w:rsid w:val="007F6DDF"/>
    <w:rsid w:val="0080264A"/>
    <w:rsid w:val="00803BB2"/>
    <w:rsid w:val="008051B0"/>
    <w:rsid w:val="00807FDE"/>
    <w:rsid w:val="00811333"/>
    <w:rsid w:val="00813393"/>
    <w:rsid w:val="00815741"/>
    <w:rsid w:val="00815E8A"/>
    <w:rsid w:val="00816502"/>
    <w:rsid w:val="00816D79"/>
    <w:rsid w:val="00820063"/>
    <w:rsid w:val="0082361D"/>
    <w:rsid w:val="008319A7"/>
    <w:rsid w:val="00834838"/>
    <w:rsid w:val="00834E56"/>
    <w:rsid w:val="008402BC"/>
    <w:rsid w:val="00844801"/>
    <w:rsid w:val="00845031"/>
    <w:rsid w:val="008517F2"/>
    <w:rsid w:val="00851AD6"/>
    <w:rsid w:val="00861F2E"/>
    <w:rsid w:val="00865E50"/>
    <w:rsid w:val="00871B3A"/>
    <w:rsid w:val="00874789"/>
    <w:rsid w:val="00880CE4"/>
    <w:rsid w:val="008810FD"/>
    <w:rsid w:val="00887E9C"/>
    <w:rsid w:val="00892657"/>
    <w:rsid w:val="008938F2"/>
    <w:rsid w:val="008967B5"/>
    <w:rsid w:val="008A0DA2"/>
    <w:rsid w:val="008A4B3E"/>
    <w:rsid w:val="008B0596"/>
    <w:rsid w:val="008B2B70"/>
    <w:rsid w:val="008C0B70"/>
    <w:rsid w:val="008C0F2F"/>
    <w:rsid w:val="008C1557"/>
    <w:rsid w:val="008C3AF1"/>
    <w:rsid w:val="008C4378"/>
    <w:rsid w:val="008C7B3D"/>
    <w:rsid w:val="008D3099"/>
    <w:rsid w:val="008D466E"/>
    <w:rsid w:val="008D7E5F"/>
    <w:rsid w:val="008E0AFE"/>
    <w:rsid w:val="008E0E51"/>
    <w:rsid w:val="008E3F4F"/>
    <w:rsid w:val="008F3ED9"/>
    <w:rsid w:val="008F5EEA"/>
    <w:rsid w:val="008F5F91"/>
    <w:rsid w:val="008F6933"/>
    <w:rsid w:val="00907335"/>
    <w:rsid w:val="00910207"/>
    <w:rsid w:val="00913219"/>
    <w:rsid w:val="009175F7"/>
    <w:rsid w:val="009221EC"/>
    <w:rsid w:val="00923F9C"/>
    <w:rsid w:val="00924078"/>
    <w:rsid w:val="00927211"/>
    <w:rsid w:val="009404A3"/>
    <w:rsid w:val="009411F2"/>
    <w:rsid w:val="009428F0"/>
    <w:rsid w:val="00943C87"/>
    <w:rsid w:val="009446A0"/>
    <w:rsid w:val="009456F4"/>
    <w:rsid w:val="0094735B"/>
    <w:rsid w:val="00947527"/>
    <w:rsid w:val="00950524"/>
    <w:rsid w:val="009533D4"/>
    <w:rsid w:val="0095722E"/>
    <w:rsid w:val="00957485"/>
    <w:rsid w:val="00961A85"/>
    <w:rsid w:val="00961CA1"/>
    <w:rsid w:val="0096483D"/>
    <w:rsid w:val="00974FCD"/>
    <w:rsid w:val="0097517E"/>
    <w:rsid w:val="00975390"/>
    <w:rsid w:val="0098031C"/>
    <w:rsid w:val="00982F4B"/>
    <w:rsid w:val="009867F7"/>
    <w:rsid w:val="00991D8E"/>
    <w:rsid w:val="009938BA"/>
    <w:rsid w:val="009947D3"/>
    <w:rsid w:val="00996559"/>
    <w:rsid w:val="009A2CE5"/>
    <w:rsid w:val="009A5CD4"/>
    <w:rsid w:val="009B7205"/>
    <w:rsid w:val="009C037B"/>
    <w:rsid w:val="009C1B69"/>
    <w:rsid w:val="009C1C14"/>
    <w:rsid w:val="009C559D"/>
    <w:rsid w:val="009D002B"/>
    <w:rsid w:val="009D3012"/>
    <w:rsid w:val="009D4780"/>
    <w:rsid w:val="009D4F6B"/>
    <w:rsid w:val="009D5270"/>
    <w:rsid w:val="009E2ED3"/>
    <w:rsid w:val="009E4D32"/>
    <w:rsid w:val="009E5D72"/>
    <w:rsid w:val="009F0703"/>
    <w:rsid w:val="009F154A"/>
    <w:rsid w:val="00A04C02"/>
    <w:rsid w:val="00A04F5E"/>
    <w:rsid w:val="00A069F4"/>
    <w:rsid w:val="00A13B63"/>
    <w:rsid w:val="00A17C54"/>
    <w:rsid w:val="00A207D6"/>
    <w:rsid w:val="00A218B9"/>
    <w:rsid w:val="00A22307"/>
    <w:rsid w:val="00A24210"/>
    <w:rsid w:val="00A27054"/>
    <w:rsid w:val="00A31F91"/>
    <w:rsid w:val="00A329DB"/>
    <w:rsid w:val="00A32BF4"/>
    <w:rsid w:val="00A35083"/>
    <w:rsid w:val="00A3556C"/>
    <w:rsid w:val="00A35E06"/>
    <w:rsid w:val="00A4049A"/>
    <w:rsid w:val="00A416EC"/>
    <w:rsid w:val="00A437CC"/>
    <w:rsid w:val="00A45D24"/>
    <w:rsid w:val="00A47CDF"/>
    <w:rsid w:val="00A5091F"/>
    <w:rsid w:val="00A54900"/>
    <w:rsid w:val="00A631BA"/>
    <w:rsid w:val="00A64A70"/>
    <w:rsid w:val="00A72CC5"/>
    <w:rsid w:val="00A73B45"/>
    <w:rsid w:val="00A82AD3"/>
    <w:rsid w:val="00A84067"/>
    <w:rsid w:val="00A90650"/>
    <w:rsid w:val="00A96373"/>
    <w:rsid w:val="00AA2F6D"/>
    <w:rsid w:val="00AA3D79"/>
    <w:rsid w:val="00AA469B"/>
    <w:rsid w:val="00AA6940"/>
    <w:rsid w:val="00AB54E5"/>
    <w:rsid w:val="00AB6918"/>
    <w:rsid w:val="00AC3ADF"/>
    <w:rsid w:val="00AC5108"/>
    <w:rsid w:val="00AC5C71"/>
    <w:rsid w:val="00AC675F"/>
    <w:rsid w:val="00AD3259"/>
    <w:rsid w:val="00AD72E7"/>
    <w:rsid w:val="00AD76B0"/>
    <w:rsid w:val="00AE0406"/>
    <w:rsid w:val="00AE2E8D"/>
    <w:rsid w:val="00AE469F"/>
    <w:rsid w:val="00AE58D1"/>
    <w:rsid w:val="00AF46F4"/>
    <w:rsid w:val="00AF68A6"/>
    <w:rsid w:val="00AF69B2"/>
    <w:rsid w:val="00AF738A"/>
    <w:rsid w:val="00AF766F"/>
    <w:rsid w:val="00AF7AC7"/>
    <w:rsid w:val="00B02298"/>
    <w:rsid w:val="00B03268"/>
    <w:rsid w:val="00B17C89"/>
    <w:rsid w:val="00B21867"/>
    <w:rsid w:val="00B226D7"/>
    <w:rsid w:val="00B2294B"/>
    <w:rsid w:val="00B241BE"/>
    <w:rsid w:val="00B24D9C"/>
    <w:rsid w:val="00B253A2"/>
    <w:rsid w:val="00B273FB"/>
    <w:rsid w:val="00B30542"/>
    <w:rsid w:val="00B31ABB"/>
    <w:rsid w:val="00B4281D"/>
    <w:rsid w:val="00B44952"/>
    <w:rsid w:val="00B50400"/>
    <w:rsid w:val="00B50532"/>
    <w:rsid w:val="00B522EB"/>
    <w:rsid w:val="00B55C83"/>
    <w:rsid w:val="00B56B42"/>
    <w:rsid w:val="00B6459C"/>
    <w:rsid w:val="00B654A9"/>
    <w:rsid w:val="00B70FBF"/>
    <w:rsid w:val="00B846A3"/>
    <w:rsid w:val="00B869BD"/>
    <w:rsid w:val="00B90325"/>
    <w:rsid w:val="00B92FA8"/>
    <w:rsid w:val="00B96DCB"/>
    <w:rsid w:val="00BA0F04"/>
    <w:rsid w:val="00BA2EAF"/>
    <w:rsid w:val="00BA3507"/>
    <w:rsid w:val="00BB3021"/>
    <w:rsid w:val="00BB4B4C"/>
    <w:rsid w:val="00BB75A6"/>
    <w:rsid w:val="00BC1E88"/>
    <w:rsid w:val="00BC4F9B"/>
    <w:rsid w:val="00BC6F31"/>
    <w:rsid w:val="00BD225E"/>
    <w:rsid w:val="00BE0394"/>
    <w:rsid w:val="00BE09DC"/>
    <w:rsid w:val="00BE1482"/>
    <w:rsid w:val="00BE77DA"/>
    <w:rsid w:val="00BF7209"/>
    <w:rsid w:val="00BF7FCC"/>
    <w:rsid w:val="00C031F1"/>
    <w:rsid w:val="00C05EA6"/>
    <w:rsid w:val="00C07BDB"/>
    <w:rsid w:val="00C1046B"/>
    <w:rsid w:val="00C1066D"/>
    <w:rsid w:val="00C1292F"/>
    <w:rsid w:val="00C139B2"/>
    <w:rsid w:val="00C140A0"/>
    <w:rsid w:val="00C17E4F"/>
    <w:rsid w:val="00C25BEE"/>
    <w:rsid w:val="00C314B3"/>
    <w:rsid w:val="00C33B2F"/>
    <w:rsid w:val="00C36C36"/>
    <w:rsid w:val="00C4477B"/>
    <w:rsid w:val="00C474DC"/>
    <w:rsid w:val="00C51325"/>
    <w:rsid w:val="00C51955"/>
    <w:rsid w:val="00C52A64"/>
    <w:rsid w:val="00C55B4C"/>
    <w:rsid w:val="00C566C1"/>
    <w:rsid w:val="00C70D12"/>
    <w:rsid w:val="00C727CE"/>
    <w:rsid w:val="00C7383B"/>
    <w:rsid w:val="00C83D66"/>
    <w:rsid w:val="00C970E4"/>
    <w:rsid w:val="00C97489"/>
    <w:rsid w:val="00C9748F"/>
    <w:rsid w:val="00CA1AAD"/>
    <w:rsid w:val="00CA2D9F"/>
    <w:rsid w:val="00CA2E8F"/>
    <w:rsid w:val="00CA4335"/>
    <w:rsid w:val="00CA5D56"/>
    <w:rsid w:val="00CB25A5"/>
    <w:rsid w:val="00CB25B0"/>
    <w:rsid w:val="00CB367D"/>
    <w:rsid w:val="00CB5D77"/>
    <w:rsid w:val="00CC0B5F"/>
    <w:rsid w:val="00CC0C3B"/>
    <w:rsid w:val="00CC1F81"/>
    <w:rsid w:val="00CC5EB6"/>
    <w:rsid w:val="00CC727C"/>
    <w:rsid w:val="00CD0CD5"/>
    <w:rsid w:val="00CD19E0"/>
    <w:rsid w:val="00CE3ABB"/>
    <w:rsid w:val="00CE4C8E"/>
    <w:rsid w:val="00CE59E5"/>
    <w:rsid w:val="00CF18D2"/>
    <w:rsid w:val="00CF1A1E"/>
    <w:rsid w:val="00D01309"/>
    <w:rsid w:val="00D0205D"/>
    <w:rsid w:val="00D02321"/>
    <w:rsid w:val="00D02A1D"/>
    <w:rsid w:val="00D039A7"/>
    <w:rsid w:val="00D06A7F"/>
    <w:rsid w:val="00D1064E"/>
    <w:rsid w:val="00D2056F"/>
    <w:rsid w:val="00D31A7D"/>
    <w:rsid w:val="00D41FBB"/>
    <w:rsid w:val="00D42FE5"/>
    <w:rsid w:val="00D43CBB"/>
    <w:rsid w:val="00D44DC3"/>
    <w:rsid w:val="00D557CF"/>
    <w:rsid w:val="00D56179"/>
    <w:rsid w:val="00D57453"/>
    <w:rsid w:val="00D632C2"/>
    <w:rsid w:val="00D6339C"/>
    <w:rsid w:val="00D64D84"/>
    <w:rsid w:val="00D64FF2"/>
    <w:rsid w:val="00D71100"/>
    <w:rsid w:val="00D71740"/>
    <w:rsid w:val="00D737B3"/>
    <w:rsid w:val="00D76DF5"/>
    <w:rsid w:val="00D80763"/>
    <w:rsid w:val="00D8124E"/>
    <w:rsid w:val="00D90AB3"/>
    <w:rsid w:val="00D921B0"/>
    <w:rsid w:val="00D93518"/>
    <w:rsid w:val="00D965F8"/>
    <w:rsid w:val="00DA020D"/>
    <w:rsid w:val="00DA7035"/>
    <w:rsid w:val="00DA738D"/>
    <w:rsid w:val="00DB320D"/>
    <w:rsid w:val="00DB4611"/>
    <w:rsid w:val="00DC0652"/>
    <w:rsid w:val="00DC4613"/>
    <w:rsid w:val="00DC59EA"/>
    <w:rsid w:val="00DC7DAF"/>
    <w:rsid w:val="00DD1C71"/>
    <w:rsid w:val="00DD7AAF"/>
    <w:rsid w:val="00DE049B"/>
    <w:rsid w:val="00DE1F40"/>
    <w:rsid w:val="00DE2561"/>
    <w:rsid w:val="00DE40CF"/>
    <w:rsid w:val="00DE5CA3"/>
    <w:rsid w:val="00DF1716"/>
    <w:rsid w:val="00DF3C71"/>
    <w:rsid w:val="00DF7B8A"/>
    <w:rsid w:val="00E00823"/>
    <w:rsid w:val="00E03290"/>
    <w:rsid w:val="00E035BE"/>
    <w:rsid w:val="00E0367F"/>
    <w:rsid w:val="00E042A3"/>
    <w:rsid w:val="00E04890"/>
    <w:rsid w:val="00E115E5"/>
    <w:rsid w:val="00E127B3"/>
    <w:rsid w:val="00E15706"/>
    <w:rsid w:val="00E157A8"/>
    <w:rsid w:val="00E16539"/>
    <w:rsid w:val="00E17D74"/>
    <w:rsid w:val="00E22EE2"/>
    <w:rsid w:val="00E24D7C"/>
    <w:rsid w:val="00E26122"/>
    <w:rsid w:val="00E26D4A"/>
    <w:rsid w:val="00E323C2"/>
    <w:rsid w:val="00E33E77"/>
    <w:rsid w:val="00E41E2A"/>
    <w:rsid w:val="00E50249"/>
    <w:rsid w:val="00E51256"/>
    <w:rsid w:val="00E529AD"/>
    <w:rsid w:val="00E57767"/>
    <w:rsid w:val="00E6365E"/>
    <w:rsid w:val="00E70175"/>
    <w:rsid w:val="00E710B4"/>
    <w:rsid w:val="00E74B6E"/>
    <w:rsid w:val="00E81424"/>
    <w:rsid w:val="00E8258D"/>
    <w:rsid w:val="00E85446"/>
    <w:rsid w:val="00E86269"/>
    <w:rsid w:val="00E90E92"/>
    <w:rsid w:val="00E97E51"/>
    <w:rsid w:val="00EA2493"/>
    <w:rsid w:val="00EA2EC7"/>
    <w:rsid w:val="00EA4D1B"/>
    <w:rsid w:val="00EA7553"/>
    <w:rsid w:val="00EB24CE"/>
    <w:rsid w:val="00EB2D3A"/>
    <w:rsid w:val="00EB3124"/>
    <w:rsid w:val="00EC19C1"/>
    <w:rsid w:val="00EC2BD8"/>
    <w:rsid w:val="00EC4AB8"/>
    <w:rsid w:val="00EC6CCB"/>
    <w:rsid w:val="00ED0444"/>
    <w:rsid w:val="00ED1D9D"/>
    <w:rsid w:val="00ED520F"/>
    <w:rsid w:val="00EE17A5"/>
    <w:rsid w:val="00EE2FC2"/>
    <w:rsid w:val="00EE4311"/>
    <w:rsid w:val="00EE704F"/>
    <w:rsid w:val="00EF200D"/>
    <w:rsid w:val="00EF2AD8"/>
    <w:rsid w:val="00EF3EC2"/>
    <w:rsid w:val="00EF3F44"/>
    <w:rsid w:val="00F0327C"/>
    <w:rsid w:val="00F0752E"/>
    <w:rsid w:val="00F16F6A"/>
    <w:rsid w:val="00F23716"/>
    <w:rsid w:val="00F24D3C"/>
    <w:rsid w:val="00F326BB"/>
    <w:rsid w:val="00F328EF"/>
    <w:rsid w:val="00F33154"/>
    <w:rsid w:val="00F40F26"/>
    <w:rsid w:val="00F41C09"/>
    <w:rsid w:val="00F43E68"/>
    <w:rsid w:val="00F4597D"/>
    <w:rsid w:val="00F46557"/>
    <w:rsid w:val="00F57B02"/>
    <w:rsid w:val="00F61163"/>
    <w:rsid w:val="00F63EBD"/>
    <w:rsid w:val="00F7249E"/>
    <w:rsid w:val="00F72F42"/>
    <w:rsid w:val="00F73DBE"/>
    <w:rsid w:val="00F75EA0"/>
    <w:rsid w:val="00F76226"/>
    <w:rsid w:val="00F81279"/>
    <w:rsid w:val="00F853F2"/>
    <w:rsid w:val="00F85838"/>
    <w:rsid w:val="00F87519"/>
    <w:rsid w:val="00FA103A"/>
    <w:rsid w:val="00FB06F9"/>
    <w:rsid w:val="00FB378A"/>
    <w:rsid w:val="00FB38AA"/>
    <w:rsid w:val="00FB7574"/>
    <w:rsid w:val="00FC0EC4"/>
    <w:rsid w:val="00FC2714"/>
    <w:rsid w:val="00FC30AD"/>
    <w:rsid w:val="00FC4E7A"/>
    <w:rsid w:val="00FD27F0"/>
    <w:rsid w:val="00FD2D13"/>
    <w:rsid w:val="00FD6C72"/>
    <w:rsid w:val="00FE2FAD"/>
    <w:rsid w:val="00FE4641"/>
    <w:rsid w:val="00FE5F0E"/>
    <w:rsid w:val="00FF0C7E"/>
    <w:rsid w:val="00FF3A6A"/>
    <w:rsid w:val="00FF6E0E"/>
    <w:rsid w:val="00FF7800"/>
  </w:rsids>
  <m:mathPr>
    <m:mathFont m:val="Cambria Math"/>
    <m:brkBin m:val="before"/>
    <m:brkBinSub m:val="--"/>
    <m:smallFrac m:val="0"/>
    <m:dispDef/>
    <m:lMargin m:val="0"/>
    <m:rMargin m:val="0"/>
    <m:defJc m:val="centerGroup"/>
    <m:wrapIndent m:val="1440"/>
    <m:intLim m:val="subSup"/>
    <m:naryLim m:val="undOvr"/>
  </m:mathPr>
  <w:themeFontLang w:val="nb-NO"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B6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GB" w:eastAsia="nb-N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Overskrift1">
    <w:name w:val="heading 1"/>
    <w:basedOn w:val="Normal"/>
    <w:next w:val="Normal"/>
    <w:link w:val="Overskrift1Tegn"/>
    <w:uiPriority w:val="9"/>
    <w:qFormat/>
    <w:rsid w:val="006B5535"/>
    <w:pPr>
      <w:keepNext/>
      <w:keepLines/>
      <w:spacing w:before="240"/>
      <w:outlineLvl w:val="0"/>
    </w:pPr>
    <w:rPr>
      <w:rFonts w:ascii="Calibri" w:eastAsiaTheme="majorEastAsia" w:hAnsi="Calibri" w:cstheme="majorBidi"/>
      <w:sz w:val="32"/>
      <w:szCs w:val="32"/>
    </w:rPr>
  </w:style>
  <w:style w:type="paragraph" w:styleId="Overskrift2">
    <w:name w:val="heading 2"/>
    <w:basedOn w:val="Normal"/>
    <w:next w:val="Normal"/>
    <w:link w:val="Overskrift2Tegn"/>
    <w:uiPriority w:val="9"/>
    <w:unhideWhenUsed/>
    <w:qFormat/>
    <w:rsid w:val="006B5535"/>
    <w:pPr>
      <w:keepNext/>
      <w:keepLines/>
      <w:spacing w:before="40"/>
      <w:outlineLvl w:val="1"/>
    </w:pPr>
    <w:rPr>
      <w:rFonts w:ascii="Calibri" w:eastAsiaTheme="majorEastAsia" w:hAnsi="Calibri" w:cstheme="majorBidi"/>
      <w:color w:val="000000" w:themeColor="text1"/>
      <w:sz w:val="28"/>
      <w:szCs w:val="26"/>
    </w:rPr>
  </w:style>
  <w:style w:type="paragraph" w:styleId="Overskrift3">
    <w:name w:val="heading 3"/>
    <w:basedOn w:val="Normal"/>
    <w:next w:val="Normal"/>
    <w:link w:val="Overskrift3Tegn"/>
    <w:uiPriority w:val="9"/>
    <w:unhideWhenUsed/>
    <w:qFormat/>
    <w:rsid w:val="006B5535"/>
    <w:pPr>
      <w:keepNext/>
      <w:keepLines/>
      <w:spacing w:before="40"/>
      <w:outlineLvl w:val="2"/>
    </w:pPr>
    <w:rPr>
      <w:rFonts w:ascii="Calibri" w:eastAsiaTheme="majorEastAsia" w:hAnsi="Calibri" w:cstheme="majorBidi"/>
      <w:b/>
      <w:color w:val="000000" w:themeColor="text1"/>
    </w:rPr>
  </w:style>
  <w:style w:type="paragraph" w:styleId="Overskrift4">
    <w:name w:val="heading 4"/>
    <w:basedOn w:val="Normal"/>
    <w:next w:val="Normal"/>
    <w:link w:val="Overskrift4Tegn"/>
    <w:uiPriority w:val="9"/>
    <w:unhideWhenUsed/>
    <w:qFormat/>
    <w:rsid w:val="00C36C3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rPr>
      <w:u w:val="single"/>
    </w:rPr>
  </w:style>
  <w:style w:type="paragraph" w:styleId="Topptekst">
    <w:name w:val="header"/>
    <w:pPr>
      <w:tabs>
        <w:tab w:val="center" w:pos="4536"/>
        <w:tab w:val="right" w:pos="9072"/>
      </w:tabs>
    </w:pPr>
    <w:rPr>
      <w:rFonts w:ascii="Calibri" w:eastAsia="Calibri" w:hAnsi="Calibri" w:cs="Calibri"/>
      <w:color w:val="000000"/>
      <w:sz w:val="22"/>
      <w:szCs w:val="22"/>
      <w:u w:color="000000"/>
    </w:rPr>
  </w:style>
  <w:style w:type="paragraph" w:customStyle="1" w:styleId="Topptekstogbunntekst">
    <w:name w:val="Topptekst og bunntekst"/>
    <w:pPr>
      <w:tabs>
        <w:tab w:val="right" w:pos="9020"/>
      </w:tabs>
    </w:pPr>
    <w:rPr>
      <w:rFonts w:ascii="Helvetica" w:hAnsi="Helvetica" w:cs="Arial Unicode MS"/>
      <w:color w:val="000000"/>
      <w:sz w:val="24"/>
      <w:szCs w:val="24"/>
    </w:rPr>
  </w:style>
  <w:style w:type="paragraph" w:customStyle="1" w:styleId="Brdtekst1">
    <w:name w:val="Brødtekst1"/>
    <w:pPr>
      <w:spacing w:after="200" w:line="276" w:lineRule="auto"/>
    </w:pPr>
    <w:rPr>
      <w:rFonts w:ascii="Calibri" w:eastAsia="Calibri" w:hAnsi="Calibri" w:cs="Calibri"/>
      <w:color w:val="000000"/>
      <w:sz w:val="22"/>
      <w:szCs w:val="22"/>
      <w:u w:color="000000"/>
    </w:rPr>
  </w:style>
  <w:style w:type="paragraph" w:customStyle="1" w:styleId="Overskrift">
    <w:name w:val="Overskrift"/>
    <w:next w:val="Brdtekst1"/>
    <w:pPr>
      <w:keepNext/>
      <w:keepLines/>
      <w:spacing w:before="240" w:line="276" w:lineRule="auto"/>
      <w:outlineLvl w:val="0"/>
    </w:pPr>
    <w:rPr>
      <w:rFonts w:ascii="Cambria" w:eastAsia="Cambria" w:hAnsi="Cambria" w:cs="Cambria"/>
      <w:color w:val="365F91"/>
      <w:sz w:val="32"/>
      <w:szCs w:val="32"/>
      <w:u w:color="365F91"/>
    </w:rPr>
  </w:style>
  <w:style w:type="paragraph" w:styleId="Overskriftforinnholdsfortegnelse">
    <w:name w:val="TOC Heading"/>
    <w:next w:val="Brdtekst1"/>
    <w:uiPriority w:val="39"/>
    <w:qFormat/>
    <w:pPr>
      <w:keepNext/>
      <w:keepLines/>
      <w:spacing w:before="240" w:line="259" w:lineRule="auto"/>
    </w:pPr>
    <w:rPr>
      <w:rFonts w:ascii="Cambria" w:eastAsia="Cambria" w:hAnsi="Cambria" w:cs="Cambria"/>
      <w:color w:val="365F91"/>
      <w:sz w:val="32"/>
      <w:szCs w:val="32"/>
      <w:u w:color="365F91"/>
    </w:rPr>
  </w:style>
  <w:style w:type="numbering" w:customStyle="1" w:styleId="Nummerert">
    <w:name w:val="Nummerert"/>
    <w:pPr>
      <w:numPr>
        <w:numId w:val="1"/>
      </w:numPr>
    </w:pPr>
  </w:style>
  <w:style w:type="numbering" w:customStyle="1" w:styleId="Punkttegn">
    <w:name w:val="Punkttegn"/>
    <w:pPr>
      <w:numPr>
        <w:numId w:val="2"/>
      </w:numPr>
    </w:pPr>
  </w:style>
  <w:style w:type="character" w:customStyle="1" w:styleId="Overskrift1Tegn">
    <w:name w:val="Overskrift 1 Tegn"/>
    <w:basedOn w:val="Standardskriftforavsnitt"/>
    <w:link w:val="Overskrift1"/>
    <w:uiPriority w:val="9"/>
    <w:rsid w:val="006B5535"/>
    <w:rPr>
      <w:rFonts w:ascii="Calibri" w:eastAsiaTheme="majorEastAsia" w:hAnsi="Calibri" w:cstheme="majorBidi"/>
      <w:sz w:val="32"/>
      <w:szCs w:val="32"/>
      <w:lang w:eastAsia="en-US"/>
    </w:rPr>
  </w:style>
  <w:style w:type="character" w:customStyle="1" w:styleId="Overskrift2Tegn">
    <w:name w:val="Overskrift 2 Tegn"/>
    <w:basedOn w:val="Standardskriftforavsnitt"/>
    <w:link w:val="Overskrift2"/>
    <w:uiPriority w:val="9"/>
    <w:rsid w:val="006B5535"/>
    <w:rPr>
      <w:rFonts w:ascii="Calibri" w:eastAsiaTheme="majorEastAsia" w:hAnsi="Calibri" w:cstheme="majorBidi"/>
      <w:color w:val="000000" w:themeColor="text1"/>
      <w:sz w:val="28"/>
      <w:szCs w:val="26"/>
      <w:lang w:eastAsia="en-US"/>
    </w:rPr>
  </w:style>
  <w:style w:type="paragraph" w:styleId="Listeavsnitt">
    <w:name w:val="List Paragraph"/>
    <w:basedOn w:val="Normal"/>
    <w:uiPriority w:val="34"/>
    <w:qFormat/>
    <w:rsid w:val="00C52A6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unntekst">
    <w:name w:val="footer"/>
    <w:basedOn w:val="Normal"/>
    <w:link w:val="BunntekstTegn"/>
    <w:uiPriority w:val="99"/>
    <w:unhideWhenUsed/>
    <w:rsid w:val="00792980"/>
    <w:pPr>
      <w:tabs>
        <w:tab w:val="center" w:pos="4536"/>
        <w:tab w:val="right" w:pos="9072"/>
      </w:tabs>
    </w:pPr>
  </w:style>
  <w:style w:type="character" w:customStyle="1" w:styleId="BunntekstTegn">
    <w:name w:val="Bunntekst Tegn"/>
    <w:basedOn w:val="Standardskriftforavsnitt"/>
    <w:link w:val="Bunntekst"/>
    <w:uiPriority w:val="99"/>
    <w:rsid w:val="00792980"/>
    <w:rPr>
      <w:sz w:val="24"/>
      <w:szCs w:val="24"/>
      <w:lang w:val="en-GB" w:eastAsia="en-US"/>
    </w:rPr>
  </w:style>
  <w:style w:type="paragraph" w:styleId="Fotnotetekst">
    <w:name w:val="footnote text"/>
    <w:basedOn w:val="Normal"/>
    <w:link w:val="FotnotetekstTegn"/>
    <w:uiPriority w:val="99"/>
    <w:semiHidden/>
    <w:unhideWhenUsed/>
    <w:rsid w:val="00CC0C3B"/>
    <w:rPr>
      <w:sz w:val="20"/>
      <w:szCs w:val="20"/>
    </w:rPr>
  </w:style>
  <w:style w:type="character" w:customStyle="1" w:styleId="FotnotetekstTegn">
    <w:name w:val="Fotnotetekst Tegn"/>
    <w:basedOn w:val="Standardskriftforavsnitt"/>
    <w:link w:val="Fotnotetekst"/>
    <w:uiPriority w:val="99"/>
    <w:semiHidden/>
    <w:rsid w:val="00CC0C3B"/>
    <w:rPr>
      <w:lang w:eastAsia="en-US"/>
    </w:rPr>
  </w:style>
  <w:style w:type="character" w:styleId="Fotnotereferanse">
    <w:name w:val="footnote reference"/>
    <w:basedOn w:val="Standardskriftforavsnitt"/>
    <w:uiPriority w:val="99"/>
    <w:semiHidden/>
    <w:unhideWhenUsed/>
    <w:rsid w:val="00CC0C3B"/>
    <w:rPr>
      <w:vertAlign w:val="superscript"/>
    </w:rPr>
  </w:style>
  <w:style w:type="character" w:styleId="Sterk">
    <w:name w:val="Strong"/>
    <w:basedOn w:val="Standardskriftforavsnitt"/>
    <w:uiPriority w:val="22"/>
    <w:qFormat/>
    <w:rsid w:val="000064C8"/>
    <w:rPr>
      <w:b/>
      <w:bCs/>
    </w:rPr>
  </w:style>
  <w:style w:type="paragraph" w:styleId="INNH1">
    <w:name w:val="toc 1"/>
    <w:basedOn w:val="Normal"/>
    <w:next w:val="Normal"/>
    <w:autoRedefine/>
    <w:uiPriority w:val="39"/>
    <w:unhideWhenUsed/>
    <w:rsid w:val="002352B9"/>
    <w:pPr>
      <w:spacing w:after="100"/>
    </w:pPr>
  </w:style>
  <w:style w:type="paragraph" w:styleId="INNH2">
    <w:name w:val="toc 2"/>
    <w:basedOn w:val="Normal"/>
    <w:next w:val="Normal"/>
    <w:autoRedefine/>
    <w:uiPriority w:val="39"/>
    <w:unhideWhenUsed/>
    <w:rsid w:val="002352B9"/>
    <w:pPr>
      <w:spacing w:after="100"/>
      <w:ind w:left="240"/>
    </w:pPr>
  </w:style>
  <w:style w:type="character" w:customStyle="1" w:styleId="caps1">
    <w:name w:val="caps1"/>
    <w:basedOn w:val="Standardskriftforavsnitt"/>
    <w:rsid w:val="0046484E"/>
    <w:rPr>
      <w:sz w:val="22"/>
      <w:szCs w:val="22"/>
    </w:rPr>
  </w:style>
  <w:style w:type="paragraph" w:customStyle="1" w:styleId="Overskrift21">
    <w:name w:val="Overskrift 21"/>
    <w:next w:val="Brdtekst1"/>
    <w:rsid w:val="002D453D"/>
    <w:pPr>
      <w:keepNext/>
      <w:keepLines/>
      <w:spacing w:before="40" w:line="276" w:lineRule="auto"/>
      <w:outlineLvl w:val="1"/>
    </w:pPr>
    <w:rPr>
      <w:rFonts w:ascii="Cambria" w:eastAsia="Cambria" w:hAnsi="Cambria" w:cs="Cambria"/>
      <w:color w:val="365F91"/>
      <w:sz w:val="26"/>
      <w:szCs w:val="26"/>
      <w:u w:color="365F91"/>
    </w:rPr>
  </w:style>
  <w:style w:type="character" w:customStyle="1" w:styleId="apple-style-span">
    <w:name w:val="apple-style-span"/>
    <w:rsid w:val="002D453D"/>
    <w:rPr>
      <w:lang w:val="en-GB"/>
    </w:rPr>
  </w:style>
  <w:style w:type="paragraph" w:customStyle="1" w:styleId="BrdtekstA">
    <w:name w:val="Brødtekst A"/>
    <w:rsid w:val="002D453D"/>
    <w:pPr>
      <w:spacing w:after="200" w:line="276" w:lineRule="auto"/>
    </w:pPr>
    <w:rPr>
      <w:rFonts w:ascii="Calibri" w:eastAsia="Calibri" w:hAnsi="Calibri" w:cs="Calibri"/>
      <w:color w:val="000000"/>
      <w:sz w:val="22"/>
      <w:szCs w:val="22"/>
      <w:u w:color="000000"/>
    </w:rPr>
  </w:style>
  <w:style w:type="paragraph" w:styleId="Bobletekst">
    <w:name w:val="Balloon Text"/>
    <w:basedOn w:val="Normal"/>
    <w:link w:val="BobletekstTegn"/>
    <w:uiPriority w:val="99"/>
    <w:semiHidden/>
    <w:unhideWhenUsed/>
    <w:rsid w:val="00A13B63"/>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13B63"/>
    <w:rPr>
      <w:rFonts w:ascii="Segoe UI" w:hAnsi="Segoe UI" w:cs="Segoe UI"/>
      <w:sz w:val="18"/>
      <w:szCs w:val="18"/>
      <w:lang w:eastAsia="en-US"/>
    </w:rPr>
  </w:style>
  <w:style w:type="paragraph" w:styleId="Rentekst">
    <w:name w:val="Plain Text"/>
    <w:basedOn w:val="Normal"/>
    <w:link w:val="RentekstTegn"/>
    <w:uiPriority w:val="99"/>
    <w:unhideWhenUsed/>
    <w:rsid w:val="00ED044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RentekstTegn">
    <w:name w:val="Ren tekst Tegn"/>
    <w:basedOn w:val="Standardskriftforavsnitt"/>
    <w:link w:val="Rentekst"/>
    <w:uiPriority w:val="99"/>
    <w:rsid w:val="00ED0444"/>
    <w:rPr>
      <w:rFonts w:ascii="Calibri" w:eastAsiaTheme="minorHAnsi" w:hAnsi="Calibri" w:cstheme="minorBidi"/>
      <w:sz w:val="22"/>
      <w:szCs w:val="21"/>
      <w:bdr w:val="none" w:sz="0" w:space="0" w:color="auto"/>
      <w:lang w:eastAsia="en-US"/>
    </w:rPr>
  </w:style>
  <w:style w:type="table" w:styleId="Tabellrutenett">
    <w:name w:val="Table Grid"/>
    <w:basedOn w:val="Vanligtabell"/>
    <w:uiPriority w:val="39"/>
    <w:rsid w:val="003C590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3C590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styleId="Merknadsreferanse">
    <w:name w:val="annotation reference"/>
    <w:basedOn w:val="Standardskriftforavsnitt"/>
    <w:uiPriority w:val="99"/>
    <w:semiHidden/>
    <w:unhideWhenUsed/>
    <w:rsid w:val="005E6092"/>
    <w:rPr>
      <w:sz w:val="16"/>
      <w:szCs w:val="16"/>
    </w:rPr>
  </w:style>
  <w:style w:type="paragraph" w:styleId="Merknadstekst">
    <w:name w:val="annotation text"/>
    <w:basedOn w:val="Normal"/>
    <w:link w:val="MerknadstekstTegn"/>
    <w:uiPriority w:val="99"/>
    <w:unhideWhenUsed/>
    <w:rsid w:val="005E6092"/>
    <w:rPr>
      <w:sz w:val="20"/>
      <w:szCs w:val="20"/>
    </w:rPr>
  </w:style>
  <w:style w:type="character" w:customStyle="1" w:styleId="MerknadstekstTegn">
    <w:name w:val="Merknadstekst Tegn"/>
    <w:basedOn w:val="Standardskriftforavsnitt"/>
    <w:link w:val="Merknadstekst"/>
    <w:uiPriority w:val="99"/>
    <w:rsid w:val="005E6092"/>
    <w:rPr>
      <w:lang w:val="en-GB" w:eastAsia="en-US"/>
    </w:rPr>
  </w:style>
  <w:style w:type="paragraph" w:styleId="Kommentaremne">
    <w:name w:val="annotation subject"/>
    <w:basedOn w:val="Merknadstekst"/>
    <w:next w:val="Merknadstekst"/>
    <w:link w:val="KommentaremneTegn"/>
    <w:uiPriority w:val="99"/>
    <w:semiHidden/>
    <w:unhideWhenUsed/>
    <w:rsid w:val="0011468D"/>
    <w:rPr>
      <w:b/>
      <w:bCs/>
    </w:rPr>
  </w:style>
  <w:style w:type="character" w:customStyle="1" w:styleId="KommentaremneTegn">
    <w:name w:val="Kommentaremne Tegn"/>
    <w:basedOn w:val="MerknadstekstTegn"/>
    <w:link w:val="Kommentaremne"/>
    <w:uiPriority w:val="99"/>
    <w:semiHidden/>
    <w:rsid w:val="0011468D"/>
    <w:rPr>
      <w:b/>
      <w:bCs/>
      <w:lang w:val="en-GB" w:eastAsia="en-US"/>
    </w:rPr>
  </w:style>
  <w:style w:type="paragraph" w:styleId="NormalWeb">
    <w:name w:val="Normal (Web)"/>
    <w:basedOn w:val="Normal"/>
    <w:uiPriority w:val="99"/>
    <w:unhideWhenUsed/>
    <w:rsid w:val="008938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12" w:lineRule="atLeast"/>
    </w:pPr>
    <w:rPr>
      <w:rFonts w:eastAsia="Times New Roman"/>
      <w:color w:val="000000"/>
      <w:sz w:val="26"/>
      <w:szCs w:val="26"/>
      <w:bdr w:val="none" w:sz="0" w:space="0" w:color="auto"/>
      <w:lang w:eastAsia="nb-NO"/>
    </w:rPr>
  </w:style>
  <w:style w:type="table" w:styleId="Lystrutenett-uthevingsfarge5">
    <w:name w:val="Light Grid Accent 5"/>
    <w:basedOn w:val="Vanligtabell"/>
    <w:uiPriority w:val="62"/>
    <w:rsid w:val="00FF0C7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Overskrift3Tegn">
    <w:name w:val="Overskrift 3 Tegn"/>
    <w:basedOn w:val="Standardskriftforavsnitt"/>
    <w:link w:val="Overskrift3"/>
    <w:uiPriority w:val="9"/>
    <w:rsid w:val="006B5535"/>
    <w:rPr>
      <w:rFonts w:ascii="Calibri" w:eastAsiaTheme="majorEastAsia" w:hAnsi="Calibri" w:cstheme="majorBidi"/>
      <w:b/>
      <w:color w:val="000000" w:themeColor="text1"/>
      <w:sz w:val="24"/>
      <w:szCs w:val="24"/>
      <w:lang w:eastAsia="en-US"/>
    </w:rPr>
  </w:style>
  <w:style w:type="paragraph" w:styleId="INNH3">
    <w:name w:val="toc 3"/>
    <w:basedOn w:val="Normal"/>
    <w:next w:val="Normal"/>
    <w:autoRedefine/>
    <w:uiPriority w:val="39"/>
    <w:unhideWhenUsed/>
    <w:rsid w:val="00B253A2"/>
    <w:pPr>
      <w:spacing w:after="100"/>
      <w:ind w:left="480"/>
    </w:pPr>
  </w:style>
  <w:style w:type="character" w:customStyle="1" w:styleId="IngenmellomromTegn">
    <w:name w:val="Ingen mellomrom Tegn"/>
    <w:basedOn w:val="Standardskriftforavsnitt"/>
    <w:link w:val="Ingenmellomrom"/>
    <w:uiPriority w:val="1"/>
    <w:rsid w:val="00131D3C"/>
    <w:rPr>
      <w:rFonts w:asciiTheme="minorHAnsi" w:eastAsiaTheme="minorHAnsi" w:hAnsiTheme="minorHAnsi" w:cstheme="minorBidi"/>
      <w:sz w:val="22"/>
      <w:szCs w:val="22"/>
      <w:bdr w:val="none" w:sz="0" w:space="0" w:color="auto"/>
      <w:lang w:eastAsia="en-US"/>
    </w:rPr>
  </w:style>
  <w:style w:type="character" w:customStyle="1" w:styleId="Overskrift4Tegn">
    <w:name w:val="Overskrift 4 Tegn"/>
    <w:basedOn w:val="Standardskriftforavsnitt"/>
    <w:link w:val="Overskrift4"/>
    <w:uiPriority w:val="9"/>
    <w:rsid w:val="00C36C36"/>
    <w:rPr>
      <w:rFonts w:asciiTheme="majorHAnsi" w:eastAsiaTheme="majorEastAsia" w:hAnsiTheme="majorHAnsi" w:cstheme="majorBidi"/>
      <w:i/>
      <w:iCs/>
      <w:color w:val="365F91" w:themeColor="accent1" w:themeShade="BF"/>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GB" w:eastAsia="nb-NO"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eastAsia="en-US"/>
    </w:rPr>
  </w:style>
  <w:style w:type="paragraph" w:styleId="Overskrift1">
    <w:name w:val="heading 1"/>
    <w:basedOn w:val="Normal"/>
    <w:next w:val="Normal"/>
    <w:link w:val="Overskrift1Tegn"/>
    <w:uiPriority w:val="9"/>
    <w:qFormat/>
    <w:rsid w:val="006B5535"/>
    <w:pPr>
      <w:keepNext/>
      <w:keepLines/>
      <w:spacing w:before="240"/>
      <w:outlineLvl w:val="0"/>
    </w:pPr>
    <w:rPr>
      <w:rFonts w:ascii="Calibri" w:eastAsiaTheme="majorEastAsia" w:hAnsi="Calibri" w:cstheme="majorBidi"/>
      <w:sz w:val="32"/>
      <w:szCs w:val="32"/>
    </w:rPr>
  </w:style>
  <w:style w:type="paragraph" w:styleId="Overskrift2">
    <w:name w:val="heading 2"/>
    <w:basedOn w:val="Normal"/>
    <w:next w:val="Normal"/>
    <w:link w:val="Overskrift2Tegn"/>
    <w:uiPriority w:val="9"/>
    <w:unhideWhenUsed/>
    <w:qFormat/>
    <w:rsid w:val="006B5535"/>
    <w:pPr>
      <w:keepNext/>
      <w:keepLines/>
      <w:spacing w:before="40"/>
      <w:outlineLvl w:val="1"/>
    </w:pPr>
    <w:rPr>
      <w:rFonts w:ascii="Calibri" w:eastAsiaTheme="majorEastAsia" w:hAnsi="Calibri" w:cstheme="majorBidi"/>
      <w:color w:val="000000" w:themeColor="text1"/>
      <w:sz w:val="28"/>
      <w:szCs w:val="26"/>
    </w:rPr>
  </w:style>
  <w:style w:type="paragraph" w:styleId="Overskrift3">
    <w:name w:val="heading 3"/>
    <w:basedOn w:val="Normal"/>
    <w:next w:val="Normal"/>
    <w:link w:val="Overskrift3Tegn"/>
    <w:uiPriority w:val="9"/>
    <w:unhideWhenUsed/>
    <w:qFormat/>
    <w:rsid w:val="006B5535"/>
    <w:pPr>
      <w:keepNext/>
      <w:keepLines/>
      <w:spacing w:before="40"/>
      <w:outlineLvl w:val="2"/>
    </w:pPr>
    <w:rPr>
      <w:rFonts w:ascii="Calibri" w:eastAsiaTheme="majorEastAsia" w:hAnsi="Calibri" w:cstheme="majorBidi"/>
      <w:b/>
      <w:color w:val="000000" w:themeColor="text1"/>
    </w:rPr>
  </w:style>
  <w:style w:type="paragraph" w:styleId="Overskrift4">
    <w:name w:val="heading 4"/>
    <w:basedOn w:val="Normal"/>
    <w:next w:val="Normal"/>
    <w:link w:val="Overskrift4Tegn"/>
    <w:uiPriority w:val="9"/>
    <w:unhideWhenUsed/>
    <w:qFormat/>
    <w:rsid w:val="00C36C3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uiPriority w:val="99"/>
    <w:rPr>
      <w:u w:val="single"/>
    </w:rPr>
  </w:style>
  <w:style w:type="paragraph" w:styleId="Topptekst">
    <w:name w:val="header"/>
    <w:pPr>
      <w:tabs>
        <w:tab w:val="center" w:pos="4536"/>
        <w:tab w:val="right" w:pos="9072"/>
      </w:tabs>
    </w:pPr>
    <w:rPr>
      <w:rFonts w:ascii="Calibri" w:eastAsia="Calibri" w:hAnsi="Calibri" w:cs="Calibri"/>
      <w:color w:val="000000"/>
      <w:sz w:val="22"/>
      <w:szCs w:val="22"/>
      <w:u w:color="000000"/>
    </w:rPr>
  </w:style>
  <w:style w:type="paragraph" w:customStyle="1" w:styleId="Topptekstogbunntekst">
    <w:name w:val="Topptekst og bunntekst"/>
    <w:pPr>
      <w:tabs>
        <w:tab w:val="right" w:pos="9020"/>
      </w:tabs>
    </w:pPr>
    <w:rPr>
      <w:rFonts w:ascii="Helvetica" w:hAnsi="Helvetica" w:cs="Arial Unicode MS"/>
      <w:color w:val="000000"/>
      <w:sz w:val="24"/>
      <w:szCs w:val="24"/>
    </w:rPr>
  </w:style>
  <w:style w:type="paragraph" w:customStyle="1" w:styleId="Brdtekst1">
    <w:name w:val="Brødtekst1"/>
    <w:pPr>
      <w:spacing w:after="200" w:line="276" w:lineRule="auto"/>
    </w:pPr>
    <w:rPr>
      <w:rFonts w:ascii="Calibri" w:eastAsia="Calibri" w:hAnsi="Calibri" w:cs="Calibri"/>
      <w:color w:val="000000"/>
      <w:sz w:val="22"/>
      <w:szCs w:val="22"/>
      <w:u w:color="000000"/>
    </w:rPr>
  </w:style>
  <w:style w:type="paragraph" w:customStyle="1" w:styleId="Overskrift">
    <w:name w:val="Overskrift"/>
    <w:next w:val="Brdtekst1"/>
    <w:pPr>
      <w:keepNext/>
      <w:keepLines/>
      <w:spacing w:before="240" w:line="276" w:lineRule="auto"/>
      <w:outlineLvl w:val="0"/>
    </w:pPr>
    <w:rPr>
      <w:rFonts w:ascii="Cambria" w:eastAsia="Cambria" w:hAnsi="Cambria" w:cs="Cambria"/>
      <w:color w:val="365F91"/>
      <w:sz w:val="32"/>
      <w:szCs w:val="32"/>
      <w:u w:color="365F91"/>
    </w:rPr>
  </w:style>
  <w:style w:type="paragraph" w:styleId="Overskriftforinnholdsfortegnelse">
    <w:name w:val="TOC Heading"/>
    <w:next w:val="Brdtekst1"/>
    <w:uiPriority w:val="39"/>
    <w:qFormat/>
    <w:pPr>
      <w:keepNext/>
      <w:keepLines/>
      <w:spacing w:before="240" w:line="259" w:lineRule="auto"/>
    </w:pPr>
    <w:rPr>
      <w:rFonts w:ascii="Cambria" w:eastAsia="Cambria" w:hAnsi="Cambria" w:cs="Cambria"/>
      <w:color w:val="365F91"/>
      <w:sz w:val="32"/>
      <w:szCs w:val="32"/>
      <w:u w:color="365F91"/>
    </w:rPr>
  </w:style>
  <w:style w:type="numbering" w:customStyle="1" w:styleId="Nummerert">
    <w:name w:val="Nummerert"/>
    <w:pPr>
      <w:numPr>
        <w:numId w:val="1"/>
      </w:numPr>
    </w:pPr>
  </w:style>
  <w:style w:type="numbering" w:customStyle="1" w:styleId="Punkttegn">
    <w:name w:val="Punkttegn"/>
    <w:pPr>
      <w:numPr>
        <w:numId w:val="2"/>
      </w:numPr>
    </w:pPr>
  </w:style>
  <w:style w:type="character" w:customStyle="1" w:styleId="Overskrift1Tegn">
    <w:name w:val="Overskrift 1 Tegn"/>
    <w:basedOn w:val="Standardskriftforavsnitt"/>
    <w:link w:val="Overskrift1"/>
    <w:uiPriority w:val="9"/>
    <w:rsid w:val="006B5535"/>
    <w:rPr>
      <w:rFonts w:ascii="Calibri" w:eastAsiaTheme="majorEastAsia" w:hAnsi="Calibri" w:cstheme="majorBidi"/>
      <w:sz w:val="32"/>
      <w:szCs w:val="32"/>
      <w:lang w:eastAsia="en-US"/>
    </w:rPr>
  </w:style>
  <w:style w:type="character" w:customStyle="1" w:styleId="Overskrift2Tegn">
    <w:name w:val="Overskrift 2 Tegn"/>
    <w:basedOn w:val="Standardskriftforavsnitt"/>
    <w:link w:val="Overskrift2"/>
    <w:uiPriority w:val="9"/>
    <w:rsid w:val="006B5535"/>
    <w:rPr>
      <w:rFonts w:ascii="Calibri" w:eastAsiaTheme="majorEastAsia" w:hAnsi="Calibri" w:cstheme="majorBidi"/>
      <w:color w:val="000000" w:themeColor="text1"/>
      <w:sz w:val="28"/>
      <w:szCs w:val="26"/>
      <w:lang w:eastAsia="en-US"/>
    </w:rPr>
  </w:style>
  <w:style w:type="paragraph" w:styleId="Listeavsnitt">
    <w:name w:val="List Paragraph"/>
    <w:basedOn w:val="Normal"/>
    <w:uiPriority w:val="34"/>
    <w:qFormat/>
    <w:rsid w:val="00C52A64"/>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Theme="minorHAnsi" w:eastAsiaTheme="minorHAnsi" w:hAnsiTheme="minorHAnsi" w:cstheme="minorBidi"/>
      <w:sz w:val="22"/>
      <w:szCs w:val="22"/>
      <w:bdr w:val="none" w:sz="0" w:space="0" w:color="auto"/>
    </w:rPr>
  </w:style>
  <w:style w:type="paragraph" w:styleId="Bunntekst">
    <w:name w:val="footer"/>
    <w:basedOn w:val="Normal"/>
    <w:link w:val="BunntekstTegn"/>
    <w:uiPriority w:val="99"/>
    <w:unhideWhenUsed/>
    <w:rsid w:val="00792980"/>
    <w:pPr>
      <w:tabs>
        <w:tab w:val="center" w:pos="4536"/>
        <w:tab w:val="right" w:pos="9072"/>
      </w:tabs>
    </w:pPr>
  </w:style>
  <w:style w:type="character" w:customStyle="1" w:styleId="BunntekstTegn">
    <w:name w:val="Bunntekst Tegn"/>
    <w:basedOn w:val="Standardskriftforavsnitt"/>
    <w:link w:val="Bunntekst"/>
    <w:uiPriority w:val="99"/>
    <w:rsid w:val="00792980"/>
    <w:rPr>
      <w:sz w:val="24"/>
      <w:szCs w:val="24"/>
      <w:lang w:val="en-GB" w:eastAsia="en-US"/>
    </w:rPr>
  </w:style>
  <w:style w:type="paragraph" w:styleId="Fotnotetekst">
    <w:name w:val="footnote text"/>
    <w:basedOn w:val="Normal"/>
    <w:link w:val="FotnotetekstTegn"/>
    <w:uiPriority w:val="99"/>
    <w:semiHidden/>
    <w:unhideWhenUsed/>
    <w:rsid w:val="00CC0C3B"/>
    <w:rPr>
      <w:sz w:val="20"/>
      <w:szCs w:val="20"/>
    </w:rPr>
  </w:style>
  <w:style w:type="character" w:customStyle="1" w:styleId="FotnotetekstTegn">
    <w:name w:val="Fotnotetekst Tegn"/>
    <w:basedOn w:val="Standardskriftforavsnitt"/>
    <w:link w:val="Fotnotetekst"/>
    <w:uiPriority w:val="99"/>
    <w:semiHidden/>
    <w:rsid w:val="00CC0C3B"/>
    <w:rPr>
      <w:lang w:eastAsia="en-US"/>
    </w:rPr>
  </w:style>
  <w:style w:type="character" w:styleId="Fotnotereferanse">
    <w:name w:val="footnote reference"/>
    <w:basedOn w:val="Standardskriftforavsnitt"/>
    <w:uiPriority w:val="99"/>
    <w:semiHidden/>
    <w:unhideWhenUsed/>
    <w:rsid w:val="00CC0C3B"/>
    <w:rPr>
      <w:vertAlign w:val="superscript"/>
    </w:rPr>
  </w:style>
  <w:style w:type="character" w:styleId="Sterk">
    <w:name w:val="Strong"/>
    <w:basedOn w:val="Standardskriftforavsnitt"/>
    <w:uiPriority w:val="22"/>
    <w:qFormat/>
    <w:rsid w:val="000064C8"/>
    <w:rPr>
      <w:b/>
      <w:bCs/>
    </w:rPr>
  </w:style>
  <w:style w:type="paragraph" w:styleId="INNH1">
    <w:name w:val="toc 1"/>
    <w:basedOn w:val="Normal"/>
    <w:next w:val="Normal"/>
    <w:autoRedefine/>
    <w:uiPriority w:val="39"/>
    <w:unhideWhenUsed/>
    <w:rsid w:val="002352B9"/>
    <w:pPr>
      <w:spacing w:after="100"/>
    </w:pPr>
  </w:style>
  <w:style w:type="paragraph" w:styleId="INNH2">
    <w:name w:val="toc 2"/>
    <w:basedOn w:val="Normal"/>
    <w:next w:val="Normal"/>
    <w:autoRedefine/>
    <w:uiPriority w:val="39"/>
    <w:unhideWhenUsed/>
    <w:rsid w:val="002352B9"/>
    <w:pPr>
      <w:spacing w:after="100"/>
      <w:ind w:left="240"/>
    </w:pPr>
  </w:style>
  <w:style w:type="character" w:customStyle="1" w:styleId="caps1">
    <w:name w:val="caps1"/>
    <w:basedOn w:val="Standardskriftforavsnitt"/>
    <w:rsid w:val="0046484E"/>
    <w:rPr>
      <w:sz w:val="22"/>
      <w:szCs w:val="22"/>
    </w:rPr>
  </w:style>
  <w:style w:type="paragraph" w:customStyle="1" w:styleId="Overskrift21">
    <w:name w:val="Overskrift 21"/>
    <w:next w:val="Brdtekst1"/>
    <w:rsid w:val="002D453D"/>
    <w:pPr>
      <w:keepNext/>
      <w:keepLines/>
      <w:spacing w:before="40" w:line="276" w:lineRule="auto"/>
      <w:outlineLvl w:val="1"/>
    </w:pPr>
    <w:rPr>
      <w:rFonts w:ascii="Cambria" w:eastAsia="Cambria" w:hAnsi="Cambria" w:cs="Cambria"/>
      <w:color w:val="365F91"/>
      <w:sz w:val="26"/>
      <w:szCs w:val="26"/>
      <w:u w:color="365F91"/>
    </w:rPr>
  </w:style>
  <w:style w:type="character" w:customStyle="1" w:styleId="apple-style-span">
    <w:name w:val="apple-style-span"/>
    <w:rsid w:val="002D453D"/>
    <w:rPr>
      <w:lang w:val="en-GB"/>
    </w:rPr>
  </w:style>
  <w:style w:type="paragraph" w:customStyle="1" w:styleId="BrdtekstA">
    <w:name w:val="Brødtekst A"/>
    <w:rsid w:val="002D453D"/>
    <w:pPr>
      <w:spacing w:after="200" w:line="276" w:lineRule="auto"/>
    </w:pPr>
    <w:rPr>
      <w:rFonts w:ascii="Calibri" w:eastAsia="Calibri" w:hAnsi="Calibri" w:cs="Calibri"/>
      <w:color w:val="000000"/>
      <w:sz w:val="22"/>
      <w:szCs w:val="22"/>
      <w:u w:color="000000"/>
    </w:rPr>
  </w:style>
  <w:style w:type="paragraph" w:styleId="Bobletekst">
    <w:name w:val="Balloon Text"/>
    <w:basedOn w:val="Normal"/>
    <w:link w:val="BobletekstTegn"/>
    <w:uiPriority w:val="99"/>
    <w:semiHidden/>
    <w:unhideWhenUsed/>
    <w:rsid w:val="00A13B63"/>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13B63"/>
    <w:rPr>
      <w:rFonts w:ascii="Segoe UI" w:hAnsi="Segoe UI" w:cs="Segoe UI"/>
      <w:sz w:val="18"/>
      <w:szCs w:val="18"/>
      <w:lang w:eastAsia="en-US"/>
    </w:rPr>
  </w:style>
  <w:style w:type="paragraph" w:styleId="Rentekst">
    <w:name w:val="Plain Text"/>
    <w:basedOn w:val="Normal"/>
    <w:link w:val="RentekstTegn"/>
    <w:uiPriority w:val="99"/>
    <w:unhideWhenUsed/>
    <w:rsid w:val="00ED044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rPr>
  </w:style>
  <w:style w:type="character" w:customStyle="1" w:styleId="RentekstTegn">
    <w:name w:val="Ren tekst Tegn"/>
    <w:basedOn w:val="Standardskriftforavsnitt"/>
    <w:link w:val="Rentekst"/>
    <w:uiPriority w:val="99"/>
    <w:rsid w:val="00ED0444"/>
    <w:rPr>
      <w:rFonts w:ascii="Calibri" w:eastAsiaTheme="minorHAnsi" w:hAnsi="Calibri" w:cstheme="minorBidi"/>
      <w:sz w:val="22"/>
      <w:szCs w:val="21"/>
      <w:bdr w:val="none" w:sz="0" w:space="0" w:color="auto"/>
      <w:lang w:eastAsia="en-US"/>
    </w:rPr>
  </w:style>
  <w:style w:type="table" w:styleId="Tabellrutenett">
    <w:name w:val="Table Grid"/>
    <w:basedOn w:val="Vanligtabell"/>
    <w:uiPriority w:val="39"/>
    <w:rsid w:val="003C590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link w:val="IngenmellomromTegn"/>
    <w:uiPriority w:val="1"/>
    <w:qFormat/>
    <w:rsid w:val="003C590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styleId="Merknadsreferanse">
    <w:name w:val="annotation reference"/>
    <w:basedOn w:val="Standardskriftforavsnitt"/>
    <w:uiPriority w:val="99"/>
    <w:semiHidden/>
    <w:unhideWhenUsed/>
    <w:rsid w:val="005E6092"/>
    <w:rPr>
      <w:sz w:val="16"/>
      <w:szCs w:val="16"/>
    </w:rPr>
  </w:style>
  <w:style w:type="paragraph" w:styleId="Merknadstekst">
    <w:name w:val="annotation text"/>
    <w:basedOn w:val="Normal"/>
    <w:link w:val="MerknadstekstTegn"/>
    <w:uiPriority w:val="99"/>
    <w:unhideWhenUsed/>
    <w:rsid w:val="005E6092"/>
    <w:rPr>
      <w:sz w:val="20"/>
      <w:szCs w:val="20"/>
    </w:rPr>
  </w:style>
  <w:style w:type="character" w:customStyle="1" w:styleId="MerknadstekstTegn">
    <w:name w:val="Merknadstekst Tegn"/>
    <w:basedOn w:val="Standardskriftforavsnitt"/>
    <w:link w:val="Merknadstekst"/>
    <w:uiPriority w:val="99"/>
    <w:rsid w:val="005E6092"/>
    <w:rPr>
      <w:lang w:val="en-GB" w:eastAsia="en-US"/>
    </w:rPr>
  </w:style>
  <w:style w:type="paragraph" w:styleId="Kommentaremne">
    <w:name w:val="annotation subject"/>
    <w:basedOn w:val="Merknadstekst"/>
    <w:next w:val="Merknadstekst"/>
    <w:link w:val="KommentaremneTegn"/>
    <w:uiPriority w:val="99"/>
    <w:semiHidden/>
    <w:unhideWhenUsed/>
    <w:rsid w:val="0011468D"/>
    <w:rPr>
      <w:b/>
      <w:bCs/>
    </w:rPr>
  </w:style>
  <w:style w:type="character" w:customStyle="1" w:styleId="KommentaremneTegn">
    <w:name w:val="Kommentaremne Tegn"/>
    <w:basedOn w:val="MerknadstekstTegn"/>
    <w:link w:val="Kommentaremne"/>
    <w:uiPriority w:val="99"/>
    <w:semiHidden/>
    <w:rsid w:val="0011468D"/>
    <w:rPr>
      <w:b/>
      <w:bCs/>
      <w:lang w:val="en-GB" w:eastAsia="en-US"/>
    </w:rPr>
  </w:style>
  <w:style w:type="paragraph" w:styleId="NormalWeb">
    <w:name w:val="Normal (Web)"/>
    <w:basedOn w:val="Normal"/>
    <w:uiPriority w:val="99"/>
    <w:unhideWhenUsed/>
    <w:rsid w:val="008938F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312" w:lineRule="atLeast"/>
    </w:pPr>
    <w:rPr>
      <w:rFonts w:eastAsia="Times New Roman"/>
      <w:color w:val="000000"/>
      <w:sz w:val="26"/>
      <w:szCs w:val="26"/>
      <w:bdr w:val="none" w:sz="0" w:space="0" w:color="auto"/>
      <w:lang w:eastAsia="nb-NO"/>
    </w:rPr>
  </w:style>
  <w:style w:type="table" w:styleId="Lystrutenett-uthevingsfarge5">
    <w:name w:val="Light Grid Accent 5"/>
    <w:basedOn w:val="Vanligtabell"/>
    <w:uiPriority w:val="62"/>
    <w:rsid w:val="00FF0C7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eastAsia="zh-C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Overskrift3Tegn">
    <w:name w:val="Overskrift 3 Tegn"/>
    <w:basedOn w:val="Standardskriftforavsnitt"/>
    <w:link w:val="Overskrift3"/>
    <w:uiPriority w:val="9"/>
    <w:rsid w:val="006B5535"/>
    <w:rPr>
      <w:rFonts w:ascii="Calibri" w:eastAsiaTheme="majorEastAsia" w:hAnsi="Calibri" w:cstheme="majorBidi"/>
      <w:b/>
      <w:color w:val="000000" w:themeColor="text1"/>
      <w:sz w:val="24"/>
      <w:szCs w:val="24"/>
      <w:lang w:eastAsia="en-US"/>
    </w:rPr>
  </w:style>
  <w:style w:type="paragraph" w:styleId="INNH3">
    <w:name w:val="toc 3"/>
    <w:basedOn w:val="Normal"/>
    <w:next w:val="Normal"/>
    <w:autoRedefine/>
    <w:uiPriority w:val="39"/>
    <w:unhideWhenUsed/>
    <w:rsid w:val="00B253A2"/>
    <w:pPr>
      <w:spacing w:after="100"/>
      <w:ind w:left="480"/>
    </w:pPr>
  </w:style>
  <w:style w:type="character" w:customStyle="1" w:styleId="IngenmellomromTegn">
    <w:name w:val="Ingen mellomrom Tegn"/>
    <w:basedOn w:val="Standardskriftforavsnitt"/>
    <w:link w:val="Ingenmellomrom"/>
    <w:uiPriority w:val="1"/>
    <w:rsid w:val="00131D3C"/>
    <w:rPr>
      <w:rFonts w:asciiTheme="minorHAnsi" w:eastAsiaTheme="minorHAnsi" w:hAnsiTheme="minorHAnsi" w:cstheme="minorBidi"/>
      <w:sz w:val="22"/>
      <w:szCs w:val="22"/>
      <w:bdr w:val="none" w:sz="0" w:space="0" w:color="auto"/>
      <w:lang w:eastAsia="en-US"/>
    </w:rPr>
  </w:style>
  <w:style w:type="character" w:customStyle="1" w:styleId="Overskrift4Tegn">
    <w:name w:val="Overskrift 4 Tegn"/>
    <w:basedOn w:val="Standardskriftforavsnitt"/>
    <w:link w:val="Overskrift4"/>
    <w:uiPriority w:val="9"/>
    <w:rsid w:val="00C36C36"/>
    <w:rPr>
      <w:rFonts w:asciiTheme="majorHAnsi" w:eastAsiaTheme="majorEastAsia" w:hAnsiTheme="majorHAnsi" w:cstheme="majorBidi"/>
      <w:i/>
      <w:iCs/>
      <w:color w:val="365F91"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49641">
      <w:bodyDiv w:val="1"/>
      <w:marLeft w:val="0"/>
      <w:marRight w:val="0"/>
      <w:marTop w:val="0"/>
      <w:marBottom w:val="0"/>
      <w:divBdr>
        <w:top w:val="none" w:sz="0" w:space="0" w:color="auto"/>
        <w:left w:val="none" w:sz="0" w:space="0" w:color="auto"/>
        <w:bottom w:val="none" w:sz="0" w:space="0" w:color="auto"/>
        <w:right w:val="none" w:sz="0" w:space="0" w:color="auto"/>
      </w:divBdr>
    </w:div>
    <w:div w:id="433285074">
      <w:bodyDiv w:val="1"/>
      <w:marLeft w:val="0"/>
      <w:marRight w:val="0"/>
      <w:marTop w:val="0"/>
      <w:marBottom w:val="0"/>
      <w:divBdr>
        <w:top w:val="none" w:sz="0" w:space="0" w:color="auto"/>
        <w:left w:val="none" w:sz="0" w:space="0" w:color="auto"/>
        <w:bottom w:val="none" w:sz="0" w:space="0" w:color="auto"/>
        <w:right w:val="none" w:sz="0" w:space="0" w:color="auto"/>
      </w:divBdr>
    </w:div>
    <w:div w:id="587159531">
      <w:bodyDiv w:val="1"/>
      <w:marLeft w:val="0"/>
      <w:marRight w:val="0"/>
      <w:marTop w:val="0"/>
      <w:marBottom w:val="0"/>
      <w:divBdr>
        <w:top w:val="none" w:sz="0" w:space="0" w:color="auto"/>
        <w:left w:val="none" w:sz="0" w:space="0" w:color="auto"/>
        <w:bottom w:val="none" w:sz="0" w:space="0" w:color="auto"/>
        <w:right w:val="none" w:sz="0" w:space="0" w:color="auto"/>
      </w:divBdr>
    </w:div>
    <w:div w:id="594483016">
      <w:bodyDiv w:val="1"/>
      <w:marLeft w:val="0"/>
      <w:marRight w:val="0"/>
      <w:marTop w:val="0"/>
      <w:marBottom w:val="0"/>
      <w:divBdr>
        <w:top w:val="none" w:sz="0" w:space="0" w:color="auto"/>
        <w:left w:val="none" w:sz="0" w:space="0" w:color="auto"/>
        <w:bottom w:val="none" w:sz="0" w:space="0" w:color="auto"/>
        <w:right w:val="none" w:sz="0" w:space="0" w:color="auto"/>
      </w:divBdr>
    </w:div>
    <w:div w:id="637151485">
      <w:bodyDiv w:val="1"/>
      <w:marLeft w:val="0"/>
      <w:marRight w:val="0"/>
      <w:marTop w:val="0"/>
      <w:marBottom w:val="0"/>
      <w:divBdr>
        <w:top w:val="none" w:sz="0" w:space="0" w:color="auto"/>
        <w:left w:val="none" w:sz="0" w:space="0" w:color="auto"/>
        <w:bottom w:val="none" w:sz="0" w:space="0" w:color="auto"/>
        <w:right w:val="none" w:sz="0" w:space="0" w:color="auto"/>
      </w:divBdr>
    </w:div>
    <w:div w:id="798912288">
      <w:bodyDiv w:val="1"/>
      <w:marLeft w:val="0"/>
      <w:marRight w:val="0"/>
      <w:marTop w:val="0"/>
      <w:marBottom w:val="0"/>
      <w:divBdr>
        <w:top w:val="none" w:sz="0" w:space="0" w:color="auto"/>
        <w:left w:val="none" w:sz="0" w:space="0" w:color="auto"/>
        <w:bottom w:val="none" w:sz="0" w:space="0" w:color="auto"/>
        <w:right w:val="none" w:sz="0" w:space="0" w:color="auto"/>
      </w:divBdr>
      <w:divsChild>
        <w:div w:id="1965849960">
          <w:marLeft w:val="0"/>
          <w:marRight w:val="0"/>
          <w:marTop w:val="0"/>
          <w:marBottom w:val="0"/>
          <w:divBdr>
            <w:top w:val="none" w:sz="0" w:space="0" w:color="auto"/>
            <w:left w:val="none" w:sz="0" w:space="0" w:color="auto"/>
            <w:bottom w:val="none" w:sz="0" w:space="0" w:color="auto"/>
            <w:right w:val="none" w:sz="0" w:space="0" w:color="auto"/>
          </w:divBdr>
          <w:divsChild>
            <w:div w:id="826939186">
              <w:marLeft w:val="0"/>
              <w:marRight w:val="0"/>
              <w:marTop w:val="0"/>
              <w:marBottom w:val="0"/>
              <w:divBdr>
                <w:top w:val="none" w:sz="0" w:space="0" w:color="auto"/>
                <w:left w:val="none" w:sz="0" w:space="0" w:color="auto"/>
                <w:bottom w:val="none" w:sz="0" w:space="0" w:color="auto"/>
                <w:right w:val="none" w:sz="0" w:space="0" w:color="auto"/>
              </w:divBdr>
              <w:divsChild>
                <w:div w:id="1777600620">
                  <w:marLeft w:val="0"/>
                  <w:marRight w:val="0"/>
                  <w:marTop w:val="0"/>
                  <w:marBottom w:val="0"/>
                  <w:divBdr>
                    <w:top w:val="none" w:sz="0" w:space="0" w:color="auto"/>
                    <w:left w:val="none" w:sz="0" w:space="0" w:color="auto"/>
                    <w:bottom w:val="none" w:sz="0" w:space="0" w:color="auto"/>
                    <w:right w:val="none" w:sz="0" w:space="0" w:color="auto"/>
                  </w:divBdr>
                  <w:divsChild>
                    <w:div w:id="1282027729">
                      <w:marLeft w:val="0"/>
                      <w:marRight w:val="0"/>
                      <w:marTop w:val="0"/>
                      <w:marBottom w:val="0"/>
                      <w:divBdr>
                        <w:top w:val="none" w:sz="0" w:space="0" w:color="auto"/>
                        <w:left w:val="none" w:sz="0" w:space="0" w:color="auto"/>
                        <w:bottom w:val="none" w:sz="0" w:space="0" w:color="auto"/>
                        <w:right w:val="none" w:sz="0" w:space="0" w:color="auto"/>
                      </w:divBdr>
                      <w:divsChild>
                        <w:div w:id="675352963">
                          <w:marLeft w:val="0"/>
                          <w:marRight w:val="375"/>
                          <w:marTop w:val="0"/>
                          <w:marBottom w:val="0"/>
                          <w:divBdr>
                            <w:top w:val="none" w:sz="0" w:space="0" w:color="auto"/>
                            <w:left w:val="none" w:sz="0" w:space="0" w:color="auto"/>
                            <w:bottom w:val="none" w:sz="0" w:space="0" w:color="auto"/>
                            <w:right w:val="none" w:sz="0" w:space="0" w:color="auto"/>
                          </w:divBdr>
                          <w:divsChild>
                            <w:div w:id="114859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974470">
      <w:bodyDiv w:val="1"/>
      <w:marLeft w:val="0"/>
      <w:marRight w:val="0"/>
      <w:marTop w:val="0"/>
      <w:marBottom w:val="0"/>
      <w:divBdr>
        <w:top w:val="none" w:sz="0" w:space="0" w:color="auto"/>
        <w:left w:val="none" w:sz="0" w:space="0" w:color="auto"/>
        <w:bottom w:val="none" w:sz="0" w:space="0" w:color="auto"/>
        <w:right w:val="none" w:sz="0" w:space="0" w:color="auto"/>
      </w:divBdr>
      <w:divsChild>
        <w:div w:id="277641339">
          <w:marLeft w:val="0"/>
          <w:marRight w:val="0"/>
          <w:marTop w:val="0"/>
          <w:marBottom w:val="300"/>
          <w:divBdr>
            <w:top w:val="none" w:sz="0" w:space="0" w:color="auto"/>
            <w:left w:val="none" w:sz="0" w:space="0" w:color="auto"/>
            <w:bottom w:val="none" w:sz="0" w:space="0" w:color="auto"/>
            <w:right w:val="none" w:sz="0" w:space="0" w:color="auto"/>
          </w:divBdr>
          <w:divsChild>
            <w:div w:id="18922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079361">
      <w:bodyDiv w:val="1"/>
      <w:marLeft w:val="0"/>
      <w:marRight w:val="0"/>
      <w:marTop w:val="0"/>
      <w:marBottom w:val="0"/>
      <w:divBdr>
        <w:top w:val="none" w:sz="0" w:space="0" w:color="auto"/>
        <w:left w:val="none" w:sz="0" w:space="0" w:color="auto"/>
        <w:bottom w:val="none" w:sz="0" w:space="0" w:color="auto"/>
        <w:right w:val="none" w:sz="0" w:space="0" w:color="auto"/>
      </w:divBdr>
    </w:div>
    <w:div w:id="1061290390">
      <w:bodyDiv w:val="1"/>
      <w:marLeft w:val="0"/>
      <w:marRight w:val="0"/>
      <w:marTop w:val="0"/>
      <w:marBottom w:val="0"/>
      <w:divBdr>
        <w:top w:val="none" w:sz="0" w:space="0" w:color="auto"/>
        <w:left w:val="none" w:sz="0" w:space="0" w:color="auto"/>
        <w:bottom w:val="none" w:sz="0" w:space="0" w:color="auto"/>
        <w:right w:val="none" w:sz="0" w:space="0" w:color="auto"/>
      </w:divBdr>
    </w:div>
    <w:div w:id="1195535471">
      <w:bodyDiv w:val="1"/>
      <w:marLeft w:val="0"/>
      <w:marRight w:val="0"/>
      <w:marTop w:val="0"/>
      <w:marBottom w:val="0"/>
      <w:divBdr>
        <w:top w:val="none" w:sz="0" w:space="0" w:color="auto"/>
        <w:left w:val="none" w:sz="0" w:space="0" w:color="auto"/>
        <w:bottom w:val="none" w:sz="0" w:space="0" w:color="auto"/>
        <w:right w:val="none" w:sz="0" w:space="0" w:color="auto"/>
      </w:divBdr>
    </w:div>
    <w:div w:id="1295677995">
      <w:bodyDiv w:val="1"/>
      <w:marLeft w:val="0"/>
      <w:marRight w:val="0"/>
      <w:marTop w:val="0"/>
      <w:marBottom w:val="0"/>
      <w:divBdr>
        <w:top w:val="none" w:sz="0" w:space="0" w:color="auto"/>
        <w:left w:val="none" w:sz="0" w:space="0" w:color="auto"/>
        <w:bottom w:val="none" w:sz="0" w:space="0" w:color="auto"/>
        <w:right w:val="none" w:sz="0" w:space="0" w:color="auto"/>
      </w:divBdr>
    </w:div>
    <w:div w:id="1496799098">
      <w:bodyDiv w:val="1"/>
      <w:marLeft w:val="0"/>
      <w:marRight w:val="0"/>
      <w:marTop w:val="0"/>
      <w:marBottom w:val="0"/>
      <w:divBdr>
        <w:top w:val="none" w:sz="0" w:space="0" w:color="auto"/>
        <w:left w:val="none" w:sz="0" w:space="0" w:color="auto"/>
        <w:bottom w:val="none" w:sz="0" w:space="0" w:color="auto"/>
        <w:right w:val="none" w:sz="0" w:space="0" w:color="auto"/>
      </w:divBdr>
    </w:div>
    <w:div w:id="1568614434">
      <w:bodyDiv w:val="1"/>
      <w:marLeft w:val="0"/>
      <w:marRight w:val="0"/>
      <w:marTop w:val="0"/>
      <w:marBottom w:val="0"/>
      <w:divBdr>
        <w:top w:val="none" w:sz="0" w:space="0" w:color="auto"/>
        <w:left w:val="none" w:sz="0" w:space="0" w:color="auto"/>
        <w:bottom w:val="none" w:sz="0" w:space="0" w:color="auto"/>
        <w:right w:val="none" w:sz="0" w:space="0" w:color="auto"/>
      </w:divBdr>
    </w:div>
    <w:div w:id="1573000809">
      <w:bodyDiv w:val="1"/>
      <w:marLeft w:val="0"/>
      <w:marRight w:val="0"/>
      <w:marTop w:val="0"/>
      <w:marBottom w:val="0"/>
      <w:divBdr>
        <w:top w:val="none" w:sz="0" w:space="0" w:color="auto"/>
        <w:left w:val="none" w:sz="0" w:space="0" w:color="auto"/>
        <w:bottom w:val="none" w:sz="0" w:space="0" w:color="auto"/>
        <w:right w:val="none" w:sz="0" w:space="0" w:color="auto"/>
      </w:divBdr>
    </w:div>
    <w:div w:id="1819154103">
      <w:bodyDiv w:val="1"/>
      <w:marLeft w:val="0"/>
      <w:marRight w:val="0"/>
      <w:marTop w:val="0"/>
      <w:marBottom w:val="0"/>
      <w:divBdr>
        <w:top w:val="none" w:sz="0" w:space="0" w:color="auto"/>
        <w:left w:val="none" w:sz="0" w:space="0" w:color="auto"/>
        <w:bottom w:val="none" w:sz="0" w:space="0" w:color="auto"/>
        <w:right w:val="none" w:sz="0" w:space="0" w:color="auto"/>
      </w:divBdr>
    </w:div>
    <w:div w:id="1900359680">
      <w:bodyDiv w:val="1"/>
      <w:marLeft w:val="0"/>
      <w:marRight w:val="0"/>
      <w:marTop w:val="0"/>
      <w:marBottom w:val="0"/>
      <w:divBdr>
        <w:top w:val="none" w:sz="0" w:space="0" w:color="auto"/>
        <w:left w:val="none" w:sz="0" w:space="0" w:color="auto"/>
        <w:bottom w:val="none" w:sz="0" w:space="0" w:color="auto"/>
        <w:right w:val="none" w:sz="0" w:space="0" w:color="auto"/>
      </w:divBdr>
      <w:divsChild>
        <w:div w:id="1760447810">
          <w:marLeft w:val="0"/>
          <w:marRight w:val="0"/>
          <w:marTop w:val="0"/>
          <w:marBottom w:val="300"/>
          <w:divBdr>
            <w:top w:val="none" w:sz="0" w:space="0" w:color="auto"/>
            <w:left w:val="none" w:sz="0" w:space="0" w:color="auto"/>
            <w:bottom w:val="none" w:sz="0" w:space="0" w:color="auto"/>
            <w:right w:val="none" w:sz="0" w:space="0" w:color="auto"/>
          </w:divBdr>
          <w:divsChild>
            <w:div w:id="118871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398650">
      <w:bodyDiv w:val="1"/>
      <w:marLeft w:val="0"/>
      <w:marRight w:val="0"/>
      <w:marTop w:val="0"/>
      <w:marBottom w:val="0"/>
      <w:divBdr>
        <w:top w:val="none" w:sz="0" w:space="0" w:color="auto"/>
        <w:left w:val="none" w:sz="0" w:space="0" w:color="auto"/>
        <w:bottom w:val="none" w:sz="0" w:space="0" w:color="auto"/>
        <w:right w:val="none" w:sz="0" w:space="0" w:color="auto"/>
      </w:divBdr>
    </w:div>
    <w:div w:id="1993867594">
      <w:bodyDiv w:val="1"/>
      <w:marLeft w:val="0"/>
      <w:marRight w:val="0"/>
      <w:marTop w:val="0"/>
      <w:marBottom w:val="0"/>
      <w:divBdr>
        <w:top w:val="none" w:sz="0" w:space="0" w:color="auto"/>
        <w:left w:val="none" w:sz="0" w:space="0" w:color="auto"/>
        <w:bottom w:val="none" w:sz="0" w:space="0" w:color="auto"/>
        <w:right w:val="none" w:sz="0" w:space="0" w:color="auto"/>
      </w:divBdr>
    </w:div>
    <w:div w:id="2077627359">
      <w:bodyDiv w:val="1"/>
      <w:marLeft w:val="0"/>
      <w:marRight w:val="0"/>
      <w:marTop w:val="0"/>
      <w:marBottom w:val="0"/>
      <w:divBdr>
        <w:top w:val="none" w:sz="0" w:space="0" w:color="auto"/>
        <w:left w:val="none" w:sz="0" w:space="0" w:color="auto"/>
        <w:bottom w:val="none" w:sz="0" w:space="0" w:color="auto"/>
        <w:right w:val="none" w:sz="0" w:space="0" w:color="auto"/>
      </w:divBdr>
    </w:div>
    <w:div w:id="21100840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www.regjeringen.no/no/dokumenter/nou-2011-18/id66306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eader" Target="header2.xml"/><Relationship Id="rId19" Type="http://schemas.openxmlformats.org/officeDocument/2006/relationships/hyperlink" Target="https://www.regjeringen.no/no/dokumenter/nou-2012-15/id699800/"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D994AC-CC35-4DAE-BFC8-FE40232893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6804</Words>
  <Characters>36067</Characters>
  <Application>Microsoft Office Word</Application>
  <DocSecurity>0</DocSecurity>
  <Lines>300</Lines>
  <Paragraphs>85</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Høgskolen i Oslo og Akershus</Company>
  <LinksUpToDate>false</LinksUpToDate>
  <CharactersWithSpaces>42786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Vibeke Horn</dc:creator>
  <cp:lastModifiedBy>Kristin Aukland</cp:lastModifiedBy>
  <cp:revision>2</cp:revision>
  <cp:lastPrinted>2017-02-27T13:10:00Z</cp:lastPrinted>
  <dcterms:created xsi:type="dcterms:W3CDTF">2017-07-19T12:56:00Z</dcterms:created>
  <dcterms:modified xsi:type="dcterms:W3CDTF">2017-07-19T12:56:00Z</dcterms:modified>
</cp:coreProperties>
</file>